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Users\\362519008\\QQ\\WinTemp\\RichOle\\D4D031FF5L1S]]H1KCWZ4G2.png"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5pt">
            <v:imagedata r:id="rId6" r:href="rId7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"C:\\Users\\lld533\\AppData\\Roaming\\Tencent\\Users\\362519008\\QQ\\WinTemp\\RichOle\\_0~%S5G(8U)P9}4TDTPJ2}N.png"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pt;height:33.5pt">
            <v:imagedata r:id="rId8" r:href="rId9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8pt;height:60pt">
            <v:imagedata r:id="rId10" r:href="rId11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$29X36}~S0N}ZH4~J3@UWKL.png"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pt;height:36.5pt">
            <v:imagedata r:id="rId12" r:href="rId13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S[SXK_$YE}AV38O.png"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pt;height:89pt">
            <v:imagedata r:id="rId15" r:href="rId16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Users\\362519008\\QQ\\WinTemp\\RichOle\\NEXY$%A3OWR(UURLD@MYMYA.png"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3pt;height:30.5pt">
            <v:imagedata r:id="rId17" r:href="rId18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"C:\\Users\\lld533\\AppData\\Roaming\\Tencent\\Users\\362519008\\QQ\\WinTemp\\RichOle\\XM9}7K7NH}Z_F{}3TK$H4(Q.png"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5pt;height:220pt">
            <v:imagedata r:id="rId19" r:href="rId20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6@22SB0Z%OQUU_RE$`PVM~3.png"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9pt;height:207.5pt">
            <v:imagedata r:id="rId21" r:href="rId22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"C:\\Users\\lld533\\AppData\\Roaming\\Tencent\\Users\\362519008\\QQ\\WinTemp\\RichOle\\JW[JFOUXB3QJEP$[ER4XOUV.png"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4.5pt;height:139.5pt">
            <v:imagedata r:id="rId23" r:href="rId24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>e\\FQOGX7AYC2AH9XQ%EIWPQNN.png" \* MERGEFORMATINET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pt;height:25.5pt">
            <v:imagedata r:id="rId25" r:href="rId26"/>
          </v:shape>
        </w:pic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proofErr w:type="spellStart"/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  <w:proofErr w:type="spellEnd"/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proofErr w:type="gramStart"/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proofErr w:type="gramEnd"/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Default="00391356" w:rsidP="00391356">
      <w:pPr>
        <w:widowControl/>
        <w:ind w:firstLine="36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</w:p>
    <w:p w14:paraId="0697FC5F" w14:textId="77777777" w:rsidR="00F62BDA" w:rsidRDefault="00F62BDA" w:rsidP="00F62BDA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</w:p>
    <w:p w14:paraId="79CE64F7" w14:textId="06FEE58A" w:rsidR="00F62BDA" w:rsidRDefault="00F62BDA" w:rsidP="00F62BDA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实验：</w:t>
      </w:r>
    </w:p>
    <w:p w14:paraId="7BB88F02" w14:textId="303BE29A" w:rsidR="00F62BDA" w:rsidRPr="00391356" w:rsidRDefault="00F62BDA" w:rsidP="00F62BDA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 multi-PIE(MPIE)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数据库，使用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6495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张图片进行对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shape and texture models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进行训练，正面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，根据角度聚类成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bins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中的每张图片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个数相同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个是微微张嘴或者完全闭嘴的，同时会有相似的数据是最完全张开的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bookmarkStart w:id="3" w:name="_GoBack"/>
      <w:bookmarkEnd w:id="3"/>
    </w:p>
    <w:sectPr w:rsidR="00F62BDA" w:rsidRPr="0039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94615"/>
    <w:rsid w:val="002A5349"/>
    <w:rsid w:val="002A54E6"/>
    <w:rsid w:val="002B3FFC"/>
    <w:rsid w:val="0031519F"/>
    <w:rsid w:val="00391356"/>
    <w:rsid w:val="00397666"/>
    <w:rsid w:val="003E7023"/>
    <w:rsid w:val="003F1BD6"/>
    <w:rsid w:val="003F20C9"/>
    <w:rsid w:val="0042560F"/>
    <w:rsid w:val="004B1952"/>
    <w:rsid w:val="004B44E4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D08E0"/>
    <w:rsid w:val="006D7B6C"/>
    <w:rsid w:val="007144DD"/>
    <w:rsid w:val="00770BCE"/>
    <w:rsid w:val="007D75F1"/>
    <w:rsid w:val="008221FA"/>
    <w:rsid w:val="008B3F7A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B9695A"/>
    <w:rsid w:val="00C06BFC"/>
    <w:rsid w:val="00C15994"/>
    <w:rsid w:val="00C37EF7"/>
    <w:rsid w:val="00C65770"/>
    <w:rsid w:val="00C74766"/>
    <w:rsid w:val="00CA36B7"/>
    <w:rsid w:val="00CC04F7"/>
    <w:rsid w:val="00CE1779"/>
    <w:rsid w:val="00D019AA"/>
    <w:rsid w:val="00D35638"/>
    <w:rsid w:val="00D422FC"/>
    <w:rsid w:val="00D46800"/>
    <w:rsid w:val="00D84E84"/>
    <w:rsid w:val="00D86855"/>
    <w:rsid w:val="00DA47BD"/>
    <w:rsid w:val="00DD588E"/>
    <w:rsid w:val="00E66FB9"/>
    <w:rsid w:val="00EA55C0"/>
    <w:rsid w:val="00F22F96"/>
    <w:rsid w:val="00F27E98"/>
    <w:rsid w:val="00F43FBA"/>
    <w:rsid w:val="00F62BDA"/>
    <w:rsid w:val="00F97701"/>
    <w:rsid w:val="00FA6A3C"/>
    <w:rsid w:val="00FC4CA8"/>
    <w:rsid w:val="00FE1BEA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3F98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lld533\AppData\Roaming\Tencent\Users\362519008\QQ\WinTemp\RichOle\_0~%25S5G(8U)P9%7d4TDTPJ2%7dN.png" TargetMode="External"/><Relationship Id="rId20" Type="http://schemas.openxmlformats.org/officeDocument/2006/relationships/image" Target="file:///C:\Users\lld533\AppData\Roaming\Tencent\Users\362519008\QQ\WinTemp\RichOle\XM9%7d7K7NH%7dZ_F%7b%7d3TK$H4(Q.png" TargetMode="External"/><Relationship Id="rId21" Type="http://schemas.openxmlformats.org/officeDocument/2006/relationships/image" Target="media/image9.png"/><Relationship Id="rId22" Type="http://schemas.openxmlformats.org/officeDocument/2006/relationships/image" Target="file:///C:\Users\lld533\AppData\Roaming\Tencent\Users\362519008\QQ\WinTemp\RichOle\6@22SB0Z%25OQUU_RE$%60PVM~3.png" TargetMode="External"/><Relationship Id="rId23" Type="http://schemas.openxmlformats.org/officeDocument/2006/relationships/image" Target="media/image10.png"/><Relationship Id="rId24" Type="http://schemas.openxmlformats.org/officeDocument/2006/relationships/image" Target="file:///C:\Users\lld533\AppData\Roaming\Tencent\Users\362519008\QQ\WinTemp\RichOle\JW%5bJFOUXB3QJEP$%5bER4XOUV.png" TargetMode="External"/><Relationship Id="rId25" Type="http://schemas.openxmlformats.org/officeDocument/2006/relationships/image" Target="media/image11.png"/><Relationship Id="rId26" Type="http://schemas.openxmlformats.org/officeDocument/2006/relationships/image" Target="file:///C:\Users\lld533\AppData\Roaming\Tencent\Users\362519008\QQ\WinTemp\RichOle\FQOGX7AYC2AH9XQ%25EIWPQNN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file:///C:\Users\lld533\AppData\Roaming\Tencent\Users\362519008\QQ\WinTemp\RichOle\3%5d_ZYFLV%5bY4Q6QBPCK%5dFTZP.png" TargetMode="External"/><Relationship Id="rId12" Type="http://schemas.openxmlformats.org/officeDocument/2006/relationships/image" Target="media/image4.png"/><Relationship Id="rId13" Type="http://schemas.openxmlformats.org/officeDocument/2006/relationships/image" Target="file:///C:\Users\lld533\AppData\Roaming\Tencent\Users\362519008\QQ\WinTemp\RichOle\$29X36%7d~S0N%7dZH4~J3@UWKL.pn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file:///C:\Users\lld533\AppData\Roaming\Tencent\Users\362519008\QQ\WinTemp\RichOle\S~T$%25D8%60S%5bSXK_$YE%7dAV38O.png" TargetMode="External"/><Relationship Id="rId17" Type="http://schemas.openxmlformats.org/officeDocument/2006/relationships/image" Target="media/image7.png"/><Relationship Id="rId18" Type="http://schemas.openxmlformats.org/officeDocument/2006/relationships/image" Target="file:///C:\Users\lld533\AppData\Roaming\Tencent\Users\362519008\QQ\WinTemp\RichOle\NEXY$%25A3OWR(UURLD@MYMYA.png" TargetMode="External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file:///C:\Users\lld533\AppData\Roaming\Tencent\Users\362519008\QQ\WinTemp\RichOle\D4D031FF5L1S%5d%5dH1KCWZ4G2.p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5</Pages>
  <Words>2420</Words>
  <Characters>13794</Characters>
  <Application>Microsoft Macintosh Word</Application>
  <DocSecurity>0</DocSecurity>
  <Lines>114</Lines>
  <Paragraphs>32</Paragraphs>
  <ScaleCrop>false</ScaleCrop>
  <Company/>
  <LinksUpToDate>false</LinksUpToDate>
  <CharactersWithSpaces>16182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雅梅 朱</cp:lastModifiedBy>
  <cp:revision>54</cp:revision>
  <dcterms:created xsi:type="dcterms:W3CDTF">2016-09-22T02:12:00Z</dcterms:created>
  <dcterms:modified xsi:type="dcterms:W3CDTF">2016-10-26T02:20:00Z</dcterms:modified>
</cp:coreProperties>
</file>