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jc w:val="center"/>
        <w:textAlignment w:val="auto"/>
        <w:outlineLvl w:val="9"/>
        <w:rPr>
          <w:rFonts w:ascii="微软雅黑" w:hAnsi="微软雅黑" w:eastAsia="仿宋_GB2312"/>
          <w:color w:val="000000" w:themeColor="text1"/>
          <w:sz w:val="30"/>
          <w:szCs w:val="30"/>
        </w:rPr>
      </w:pPr>
      <w:r>
        <w:rPr>
          <w:rStyle w:val="7"/>
          <w:rFonts w:hint="eastAsia" w:asciiTheme="majorEastAsia" w:hAnsiTheme="majorEastAsia" w:eastAsiaTheme="majorEastAsia"/>
          <w:bCs w:val="0"/>
          <w:color w:val="000000" w:themeColor="text1"/>
          <w:sz w:val="44"/>
          <w:szCs w:val="44"/>
        </w:rPr>
        <w:t>江门市放心消费创建单位评估管理办法</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黑体" w:hAnsi="黑体" w:eastAsia="黑体"/>
          <w:b/>
          <w:color w:val="000000" w:themeColor="text1"/>
          <w:sz w:val="32"/>
          <w:szCs w:val="32"/>
        </w:rPr>
      </w:pPr>
      <w:r>
        <w:rPr>
          <w:rFonts w:hint="eastAsia" w:ascii="黑体" w:hAnsi="黑体" w:eastAsia="黑体"/>
          <w:b/>
          <w:color w:val="000000" w:themeColor="text1"/>
          <w:sz w:val="32"/>
          <w:szCs w:val="32"/>
        </w:rPr>
        <w:t>一、总则</w:t>
      </w:r>
      <w:r>
        <w:rPr>
          <w:rFonts w:hint="eastAsia" w:ascii="微软雅黑" w:hAnsi="微软雅黑" w:eastAsia="黑体"/>
          <w:b/>
          <w:color w:val="000000" w:themeColor="text1"/>
          <w:sz w:val="32"/>
          <w:szCs w:val="32"/>
        </w:rPr>
        <w:t> </w:t>
      </w:r>
      <w:bookmarkStart w:id="0" w:name="_GoBack"/>
      <w:bookmarkEnd w:id="0"/>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第一条</w:t>
      </w:r>
      <w:r>
        <w:rPr>
          <w:rFonts w:hint="eastAsia" w:ascii="微软雅黑" w:hAnsi="微软雅黑" w:eastAsia="仿宋_GB2312"/>
          <w:b/>
          <w:color w:val="000000" w:themeColor="text1"/>
          <w:sz w:val="32"/>
          <w:szCs w:val="32"/>
        </w:rPr>
        <w:t> </w:t>
      </w:r>
      <w:r>
        <w:rPr>
          <w:rFonts w:hint="eastAsia" w:ascii="仿宋_GB2312" w:hAnsi="微软雅黑" w:eastAsia="仿宋_GB2312"/>
          <w:color w:val="000000" w:themeColor="text1"/>
          <w:sz w:val="32"/>
          <w:szCs w:val="32"/>
        </w:rPr>
        <w:t xml:space="preserve"> </w:t>
      </w:r>
      <w:r>
        <w:rPr>
          <w:rFonts w:hint="eastAsia" w:ascii="微软雅黑" w:hAnsi="微软雅黑" w:eastAsia="仿宋_GB2312"/>
          <w:color w:val="000000" w:themeColor="text1"/>
          <w:sz w:val="32"/>
          <w:szCs w:val="32"/>
        </w:rPr>
        <w:t> </w:t>
      </w:r>
      <w:r>
        <w:rPr>
          <w:rFonts w:hint="eastAsia" w:ascii="仿宋_GB2312" w:hAnsi="微软雅黑" w:eastAsia="仿宋_GB2312"/>
          <w:color w:val="000000" w:themeColor="text1"/>
          <w:sz w:val="32"/>
          <w:szCs w:val="32"/>
        </w:rPr>
        <w:t>根据《江门市人民政府办公室关于印发江门市放心消费创建活动工作方案的通知》（江府办函〔2017〕248号）要求，为有序开展放心消费创建工作，完善对放心消费单位的管理，制定本办法。</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第二条</w:t>
      </w:r>
      <w:r>
        <w:rPr>
          <w:rFonts w:hint="eastAsia" w:ascii="微软雅黑" w:hAnsi="微软雅黑" w:eastAsia="仿宋_GB2312"/>
          <w:color w:val="000000" w:themeColor="text1"/>
          <w:sz w:val="32"/>
          <w:szCs w:val="32"/>
        </w:rPr>
        <w:t>  </w:t>
      </w:r>
      <w:r>
        <w:rPr>
          <w:rFonts w:hint="eastAsia" w:ascii="仿宋_GB2312" w:hAnsi="微软雅黑" w:eastAsia="仿宋_GB2312"/>
          <w:color w:val="000000" w:themeColor="text1"/>
          <w:sz w:val="32"/>
          <w:szCs w:val="32"/>
        </w:rPr>
        <w:t xml:space="preserve"> 江门市放心消费创建单位的创建按照不同的行业、领域和组织形式，可分为放心市场、放心商圈（商城、商场）、放心店、放心景区等类型，对外名称统一为“江门市放心消费创建单位”。</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第三条</w:t>
      </w:r>
      <w:r>
        <w:rPr>
          <w:rFonts w:hint="eastAsia" w:ascii="仿宋_GB2312" w:hAnsi="微软雅黑" w:eastAsia="仿宋_GB2312"/>
          <w:color w:val="000000" w:themeColor="text1"/>
          <w:sz w:val="32"/>
          <w:szCs w:val="32"/>
        </w:rPr>
        <w:t>  放心消费创建单位以创建“消费安全放心、消费质量放心、消费价格放心、消费服务放心、消费维权放心”等“五放心”为主要内容，着力提高服务水平和服务质量，提升消费者的消费体验，整体推进消费环境的优化、提升。</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第四条</w:t>
      </w:r>
      <w:r>
        <w:rPr>
          <w:rFonts w:hint="eastAsia" w:ascii="微软雅黑" w:hAnsi="微软雅黑" w:eastAsia="仿宋_GB2312"/>
          <w:color w:val="000000" w:themeColor="text1"/>
          <w:sz w:val="32"/>
          <w:szCs w:val="32"/>
        </w:rPr>
        <w:t>   </w:t>
      </w:r>
      <w:r>
        <w:rPr>
          <w:rFonts w:hint="eastAsia" w:ascii="仿宋_GB2312" w:hAnsi="微软雅黑" w:eastAsia="仿宋_GB2312"/>
          <w:color w:val="000000" w:themeColor="text1"/>
          <w:sz w:val="32"/>
          <w:szCs w:val="32"/>
        </w:rPr>
        <w:t>放心消费创建工作遵循政府主导引领、部门有力推动、企业主动作为、消费者体验、第三方评估评价、社会动态监督、失信即时退出原则。</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第五条</w:t>
      </w:r>
      <w:r>
        <w:rPr>
          <w:rFonts w:hint="eastAsia" w:ascii="仿宋_GB2312" w:hAnsi="微软雅黑" w:eastAsia="仿宋_GB2312"/>
          <w:color w:val="000000" w:themeColor="text1"/>
          <w:sz w:val="32"/>
          <w:szCs w:val="32"/>
        </w:rPr>
        <w:t xml:space="preserve"> 江门市放心消费创建活动领导小组负责放心消费单位创建工作的统一组织协调。</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u w:val="single"/>
        </w:rPr>
      </w:pPr>
      <w:r>
        <w:rPr>
          <w:rFonts w:hint="eastAsia" w:ascii="仿宋_GB2312" w:hAnsi="微软雅黑" w:eastAsia="仿宋_GB2312"/>
          <w:color w:val="000000" w:themeColor="text1"/>
          <w:sz w:val="32"/>
          <w:szCs w:val="32"/>
        </w:rPr>
        <w:t>江门市放心消费创建活动领导小组的各成员单位按照职能分工，结合本办法，负责牵头制定相关行业和领域放心消费创建单位的</w:t>
      </w:r>
      <w:r>
        <w:rPr>
          <w:rFonts w:hint="eastAsia" w:ascii="仿宋_GB2312" w:hAnsi="微软雅黑" w:eastAsia="仿宋_GB2312"/>
          <w:color w:val="000000" w:themeColor="text1"/>
          <w:sz w:val="32"/>
          <w:szCs w:val="32"/>
          <w:u w:val="single"/>
        </w:rPr>
        <w:t>实施方案、创建标准和评估管理细则</w:t>
      </w:r>
      <w:r>
        <w:rPr>
          <w:rFonts w:hint="eastAsia" w:ascii="仿宋_GB2312" w:hAnsi="微软雅黑" w:eastAsia="仿宋_GB2312"/>
          <w:color w:val="000000" w:themeColor="text1"/>
          <w:sz w:val="32"/>
          <w:szCs w:val="32"/>
        </w:rPr>
        <w:t>，</w:t>
      </w:r>
      <w:r>
        <w:rPr>
          <w:rFonts w:hint="eastAsia" w:ascii="仿宋_GB2312" w:hAnsi="微软雅黑" w:eastAsia="仿宋_GB2312"/>
          <w:color w:val="000000" w:themeColor="text1"/>
          <w:sz w:val="32"/>
          <w:szCs w:val="32"/>
          <w:u w:val="single"/>
        </w:rPr>
        <w:t>制定的方案、标准和细则由牵头部门报江门市放心消费创建活动领导小组统一向社会公布。</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0"/>
          <w:szCs w:val="30"/>
        </w:rPr>
      </w:pP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黑体" w:hAnsi="黑体" w:eastAsia="黑体"/>
          <w:b/>
          <w:color w:val="000000" w:themeColor="text1"/>
          <w:sz w:val="32"/>
          <w:szCs w:val="32"/>
        </w:rPr>
      </w:pPr>
      <w:r>
        <w:rPr>
          <w:rFonts w:hint="eastAsia" w:ascii="黑体" w:hAnsi="黑体" w:eastAsia="黑体"/>
          <w:b/>
          <w:color w:val="000000" w:themeColor="text1"/>
          <w:sz w:val="32"/>
          <w:szCs w:val="32"/>
        </w:rPr>
        <w:t>二、评估程序</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第六条</w:t>
      </w:r>
      <w:r>
        <w:rPr>
          <w:rFonts w:hint="eastAsia" w:ascii="仿宋_GB2312" w:hAnsi="微软雅黑" w:eastAsia="仿宋_GB2312"/>
          <w:color w:val="000000" w:themeColor="text1"/>
          <w:sz w:val="32"/>
          <w:szCs w:val="32"/>
        </w:rPr>
        <w:t>  放心消费创建单位的基本评估程序为：经营主体申请→行政主管部门审核→消费者体验反馈→社会评估→异议公示→正式公布。</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经营主体对照放心消费创建单位相应评估标准填写《江门市放心消费创建单位申报表》提出申请（附件1），并签署放心消费公开承诺书（附件2）。</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color w:val="000000" w:themeColor="text1"/>
          <w:sz w:val="32"/>
          <w:szCs w:val="32"/>
        </w:rPr>
        <w:t>在第三方交易平台上开设的网店提出放心店申请的，在网店经营者所在地行政主管部门审核前应由第三方交易平台提出初审意见。</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行政主管部门初审后，委托消委会或行业协会等第三方机构，组织消费者代表对申请主体进行消费体验评价，对照《江门市放心消费创建单位评估标准》（附件3）反馈评价结果。</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（三）</w:t>
      </w:r>
      <w:r>
        <w:rPr>
          <w:rFonts w:hint="eastAsia" w:ascii="仿宋_GB2312" w:hAnsi="微软雅黑" w:eastAsia="仿宋_GB2312"/>
          <w:color w:val="000000" w:themeColor="text1"/>
          <w:sz w:val="32"/>
          <w:szCs w:val="32"/>
        </w:rPr>
        <w:t>对经行政主管部门审核、消费者体验、社会评估通过的申请对象，由江门市放心消费创建活动领导小组组织集中公示，公示期为7个工作日。</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（四）</w:t>
      </w:r>
      <w:r>
        <w:rPr>
          <w:rFonts w:hint="eastAsia" w:ascii="仿宋_GB2312" w:hAnsi="微软雅黑" w:eastAsia="仿宋_GB2312"/>
          <w:color w:val="000000" w:themeColor="text1"/>
          <w:sz w:val="32"/>
          <w:szCs w:val="32"/>
        </w:rPr>
        <w:t>对公示期间有异议的申请对象，由江门市放心消费创建活动领导小组或原审核单位组织有关部门、消委会、行业协会或第三方机构及一定数量的消费者代表进行合议裁定。</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（五）</w:t>
      </w:r>
      <w:r>
        <w:rPr>
          <w:rFonts w:hint="eastAsia" w:ascii="仿宋_GB2312" w:hAnsi="微软雅黑" w:eastAsia="仿宋_GB2312"/>
          <w:color w:val="000000" w:themeColor="text1"/>
          <w:sz w:val="32"/>
          <w:szCs w:val="32"/>
        </w:rPr>
        <w:t>对公示期内无异议或经裁定异议不成立的申请对象，由江门市放心消费创建活动领导小组向社会集中公布。</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第七条</w:t>
      </w:r>
      <w:r>
        <w:rPr>
          <w:rFonts w:hint="eastAsia" w:ascii="仿宋_GB2312" w:hAnsi="微软雅黑" w:eastAsia="仿宋_GB2312"/>
          <w:color w:val="000000" w:themeColor="text1"/>
          <w:sz w:val="32"/>
          <w:szCs w:val="32"/>
        </w:rPr>
        <w:t> 江门市放心消费创建活动领导小组各牵头主管部门根据本办法制订具体细化的评估操作流程或实施方案，并通过门户网站等方式向社会公开。</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0"/>
          <w:szCs w:val="30"/>
        </w:rPr>
      </w:pP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黑体" w:hAnsi="黑体" w:eastAsia="黑体"/>
          <w:b/>
          <w:color w:val="000000" w:themeColor="text1"/>
          <w:sz w:val="32"/>
          <w:szCs w:val="32"/>
        </w:rPr>
      </w:pPr>
      <w:r>
        <w:rPr>
          <w:rFonts w:hint="eastAsia" w:ascii="黑体" w:hAnsi="黑体" w:eastAsia="黑体"/>
          <w:b/>
          <w:color w:val="000000" w:themeColor="text1"/>
          <w:sz w:val="32"/>
          <w:szCs w:val="32"/>
        </w:rPr>
        <w:t>三、评估内容</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第八条</w:t>
      </w:r>
      <w:r>
        <w:rPr>
          <w:rFonts w:hint="eastAsia" w:ascii="仿宋_GB2312" w:hAnsi="微软雅黑" w:eastAsia="仿宋_GB2312"/>
          <w:color w:val="000000" w:themeColor="text1"/>
          <w:sz w:val="32"/>
          <w:szCs w:val="32"/>
        </w:rPr>
        <w:t xml:space="preserve"> 创建消费安全放心，主要内容是：</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消费场地场所、设施设备符合国家安全标准，不含安全隐患；</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配备专（兼）职安全工作人员，开展经常性安全巡查检查；从事特殊行业的单位及从业人员，具备法定资质和从业资格；</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（三）</w:t>
      </w:r>
      <w:r>
        <w:rPr>
          <w:rFonts w:hint="eastAsia" w:ascii="仿宋_GB2312" w:hAnsi="微软雅黑" w:eastAsia="仿宋_GB2312"/>
          <w:color w:val="000000" w:themeColor="text1"/>
          <w:sz w:val="32"/>
          <w:szCs w:val="32"/>
        </w:rPr>
        <w:t>人体健康、生命安全保障制度切实可行，安保措施具体到位，有突发事件应急处置方案预案，突发事件应急处置科学得当；</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（四）</w:t>
      </w:r>
      <w:r>
        <w:rPr>
          <w:rFonts w:hint="eastAsia" w:ascii="仿宋_GB2312" w:hAnsi="微软雅黑" w:eastAsia="仿宋_GB2312"/>
          <w:color w:val="000000" w:themeColor="text1"/>
          <w:sz w:val="32"/>
          <w:szCs w:val="32"/>
        </w:rPr>
        <w:t>２年内无安全、环境污染和公共卫生、食品药品安全等事故。</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第九条</w:t>
      </w:r>
      <w:r>
        <w:rPr>
          <w:rFonts w:hint="eastAsia" w:ascii="仿宋_GB2312" w:hAnsi="微软雅黑" w:eastAsia="仿宋_GB2312"/>
          <w:color w:val="000000" w:themeColor="text1"/>
          <w:sz w:val="32"/>
          <w:szCs w:val="32"/>
        </w:rPr>
        <w:t xml:space="preserve"> 创建消费质量放心，主要内容是：</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严格执行《中华人民共和国产品质量法》、《中华人民共和国食品安全法》等相关法律法规、制度标准和管理规范；</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商品的进货查验、下架退市、销毁等质量管理制度健全、有效;瑕疵、缺陷、不合格商品处置和“三包”等制度、规定落实到位;商品质量突发事件应急处置及时有效；当年无属于企业自身责任而引发的质量投诉和有关部门质量监督抽查不合格记录。</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 xml:space="preserve">第十条 </w:t>
      </w:r>
      <w:r>
        <w:rPr>
          <w:rFonts w:hint="eastAsia" w:ascii="仿宋_GB2312" w:hAnsi="微软雅黑" w:eastAsia="仿宋_GB2312"/>
          <w:color w:val="000000" w:themeColor="text1"/>
          <w:sz w:val="32"/>
          <w:szCs w:val="32"/>
        </w:rPr>
        <w:t>创建消费价格放心，主要内容是：</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确保消费者价格权利的实现，执行政府定价、指导价以及价格干预措施、价格紧急措施等法定价格措施；按公平、合法和诚信原则制定实行市场调节价的商品和服务价格；</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落实商品和服务明码标价，倡导明码实价；近2年无操纵价格、价格垄断、价格欺诈、变相提压价等价格违法行为。</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第十一条</w:t>
      </w:r>
      <w:r>
        <w:rPr>
          <w:rFonts w:hint="eastAsia" w:ascii="仿宋_GB2312" w:hAnsi="微软雅黑" w:eastAsia="仿宋_GB2312"/>
          <w:color w:val="000000" w:themeColor="text1"/>
          <w:sz w:val="32"/>
          <w:szCs w:val="32"/>
        </w:rPr>
        <w:t xml:space="preserve"> 创建消费服务放心，主要内容是：</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提供的服务内容符合国家及行业标准;</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有比较系统、完善的服务管理制度，公开并自觉践行服务承诺，主动接受社会监督；</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（三）</w:t>
      </w:r>
      <w:r>
        <w:rPr>
          <w:rFonts w:hint="eastAsia" w:ascii="仿宋_GB2312" w:hAnsi="微软雅黑" w:eastAsia="仿宋_GB2312"/>
          <w:color w:val="000000" w:themeColor="text1"/>
          <w:sz w:val="32"/>
          <w:szCs w:val="32"/>
        </w:rPr>
        <w:t>及时履行商品修理、重作、更换、退货、补足商品数量、退还货款和服务费用或者赔偿损失等义务;</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（四）</w:t>
      </w:r>
      <w:r>
        <w:rPr>
          <w:rFonts w:hint="eastAsia" w:ascii="仿宋_GB2312" w:hAnsi="微软雅黑" w:eastAsia="仿宋_GB2312"/>
          <w:color w:val="000000" w:themeColor="text1"/>
          <w:sz w:val="32"/>
          <w:szCs w:val="32"/>
        </w:rPr>
        <w:t>格式条款、通知、声明、店堂告示等无对消费者不公平、不合理的规定。</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（五）</w:t>
      </w:r>
      <w:r>
        <w:rPr>
          <w:rFonts w:hint="eastAsia" w:ascii="仿宋_GB2312" w:hAnsi="微软雅黑" w:eastAsia="仿宋_GB2312"/>
          <w:color w:val="000000" w:themeColor="text1"/>
          <w:sz w:val="32"/>
          <w:szCs w:val="32"/>
        </w:rPr>
        <w:t>有专门的服务机构或工作人员，积极参与消费者协会、媒体等组织的有关商品和服务消费者满意度调查，服务满意度在本市同行业处于领先。</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第十二条</w:t>
      </w:r>
      <w:r>
        <w:rPr>
          <w:rFonts w:hint="eastAsia" w:ascii="仿宋_GB2312" w:hAnsi="微软雅黑" w:eastAsia="仿宋_GB2312"/>
          <w:color w:val="000000" w:themeColor="text1"/>
          <w:sz w:val="32"/>
          <w:szCs w:val="32"/>
        </w:rPr>
        <w:t xml:space="preserve"> 创建消费维权放心，主要内容是：</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自觉履行消费纠纷和解第一责任人责任，落实《消费者权益保护法》等有关法律、法规和规章制度；</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有规范的消费纠纷和解工作制度和专（兼）职工作人员，在消费场所公示投诉电话号码等有效的投诉方式，确保投诉举报渠道畅通，当年消费投诉和解率不低于85%，有投诉处理记录。</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（三）</w:t>
      </w:r>
      <w:r>
        <w:rPr>
          <w:rFonts w:hint="eastAsia" w:ascii="仿宋_GB2312" w:hAnsi="微软雅黑" w:eastAsia="仿宋_GB2312"/>
          <w:color w:val="000000" w:themeColor="text1"/>
          <w:sz w:val="32"/>
          <w:szCs w:val="32"/>
        </w:rPr>
        <w:t>投诉处理回访制度健全，受理和解记录和档案资料齐备，与相关部门有规范的报告机制。</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0"/>
          <w:szCs w:val="30"/>
        </w:rPr>
      </w:pP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黑体" w:hAnsi="黑体" w:eastAsia="黑体"/>
          <w:b/>
          <w:color w:val="000000" w:themeColor="text1"/>
          <w:sz w:val="32"/>
          <w:szCs w:val="32"/>
        </w:rPr>
      </w:pPr>
      <w:r>
        <w:rPr>
          <w:rFonts w:hint="eastAsia" w:ascii="黑体" w:hAnsi="黑体" w:eastAsia="黑体"/>
          <w:b/>
          <w:color w:val="000000" w:themeColor="text1"/>
          <w:sz w:val="32"/>
          <w:szCs w:val="32"/>
        </w:rPr>
        <w:t>四、激励措施</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 第十三条 </w:t>
      </w:r>
      <w:r>
        <w:rPr>
          <w:rFonts w:hint="eastAsia" w:ascii="仿宋_GB2312" w:hAnsi="微软雅黑" w:eastAsia="仿宋_GB2312"/>
          <w:color w:val="000000" w:themeColor="text1"/>
          <w:sz w:val="32"/>
          <w:szCs w:val="32"/>
        </w:rPr>
        <w:t>  所有放心消费创建单位在江门市人民政府门户网站或“江门市放心消费”微信公众号对外公布，为广大消费者提供消费指引。</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第十四条 </w:t>
      </w:r>
      <w:r>
        <w:rPr>
          <w:rFonts w:hint="eastAsia" w:ascii="仿宋_GB2312" w:hAnsi="微软雅黑" w:eastAsia="仿宋_GB2312"/>
          <w:color w:val="000000" w:themeColor="text1"/>
          <w:sz w:val="32"/>
          <w:szCs w:val="32"/>
        </w:rPr>
        <w:t xml:space="preserve"> 对公布的放心消费创建单位，经营主体可按照使用规范要求，将“江门市放心消费创建单位”LOGO标识宣示于经营场所主要醒目位置。</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第十五条</w:t>
      </w:r>
      <w:r>
        <w:rPr>
          <w:rFonts w:hint="eastAsia" w:ascii="仿宋_GB2312" w:hAnsi="微软雅黑" w:eastAsia="仿宋_GB2312"/>
          <w:color w:val="000000" w:themeColor="text1"/>
          <w:sz w:val="32"/>
          <w:szCs w:val="32"/>
        </w:rPr>
        <w:t>  对公布的放心消费创建单位，纳入“消费者信得过单位”“守合同重信用”等相关活动的重要推荐对象予以正向激励。</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第十六条</w:t>
      </w:r>
      <w:r>
        <w:rPr>
          <w:rFonts w:hint="eastAsia" w:ascii="仿宋_GB2312" w:hAnsi="微软雅黑" w:eastAsia="仿宋_GB2312"/>
          <w:color w:val="000000" w:themeColor="text1"/>
          <w:sz w:val="32"/>
          <w:szCs w:val="32"/>
        </w:rPr>
        <w:t>  鼓励各地和第三方网络交易平台及其他方面推出对放心消费创建单位的激励措施，激发更多的市场主体积极投入放心消费创建工作。</w:t>
      </w: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0"/>
          <w:szCs w:val="30"/>
        </w:rPr>
      </w:pP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黑体" w:hAnsi="黑体" w:eastAsia="黑体"/>
          <w:b/>
          <w:color w:val="000000" w:themeColor="text1"/>
          <w:sz w:val="32"/>
          <w:szCs w:val="32"/>
        </w:rPr>
      </w:pPr>
      <w:r>
        <w:rPr>
          <w:rFonts w:hint="eastAsia" w:ascii="黑体" w:hAnsi="黑体" w:eastAsia="黑体"/>
          <w:b/>
          <w:color w:val="000000" w:themeColor="text1"/>
          <w:sz w:val="32"/>
          <w:szCs w:val="32"/>
        </w:rPr>
        <w:t>五、管理与退出</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第十七条</w:t>
      </w:r>
      <w:r>
        <w:rPr>
          <w:rFonts w:hint="eastAsia" w:ascii="仿宋_GB2312" w:hAnsi="微软雅黑" w:eastAsia="仿宋_GB2312"/>
          <w:color w:val="000000" w:themeColor="text1"/>
          <w:sz w:val="32"/>
          <w:szCs w:val="32"/>
        </w:rPr>
        <w:t>  放心消费创建单位应切实履行放心消费公开承诺，持续开展放心消费建设，不断提高商品和服务质量，更好地履行保护消费者合法权益责任，维护好放心消费创建单位声誉，主动接受政府部门、消费者及社会各方监督。</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第十八条  </w:t>
      </w:r>
      <w:r>
        <w:rPr>
          <w:rFonts w:hint="eastAsia" w:ascii="仿宋_GB2312" w:hAnsi="微软雅黑" w:eastAsia="仿宋_GB2312"/>
          <w:color w:val="000000" w:themeColor="text1"/>
          <w:sz w:val="32"/>
          <w:szCs w:val="32"/>
        </w:rPr>
        <w:t> 各级行政主管部门应加强对放心消费创建单位的动态管理，强化日常业务指导，督促其更好地落实消费维权责任和义务，创新完善维权工作机制，积极会同有关单位不断提升放心消费建设水平，不断加强典型宣传，发挥创建引领作用。</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 xml:space="preserve">第十九条  </w:t>
      </w:r>
      <w:r>
        <w:rPr>
          <w:rFonts w:hint="eastAsia" w:ascii="仿宋_GB2312" w:hAnsi="微软雅黑" w:eastAsia="仿宋_GB2312"/>
          <w:color w:val="000000" w:themeColor="text1"/>
          <w:sz w:val="32"/>
          <w:szCs w:val="32"/>
        </w:rPr>
        <w:t>在动态跟踪管理中发现下列情形之一的，放心消费创建单位称号予以撤销：</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（一）</w:t>
      </w:r>
      <w:r>
        <w:rPr>
          <w:rFonts w:hint="eastAsia" w:ascii="仿宋_GB2312" w:hAnsi="微软雅黑" w:eastAsia="仿宋_GB2312"/>
          <w:color w:val="000000" w:themeColor="text1"/>
          <w:sz w:val="32"/>
          <w:szCs w:val="32"/>
        </w:rPr>
        <w:t>经查实在申报过程中弄虚作假、隐瞒真实情况的；</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（二）</w:t>
      </w:r>
      <w:r>
        <w:rPr>
          <w:rFonts w:hint="eastAsia" w:ascii="仿宋_GB2312" w:hAnsi="微软雅黑" w:eastAsia="仿宋_GB2312"/>
          <w:color w:val="000000" w:themeColor="text1"/>
          <w:sz w:val="32"/>
          <w:szCs w:val="32"/>
        </w:rPr>
        <w:t>因未尽到经营者法定责任导致商品质量抽检不合格，或发生商品质量、服务、景区旅游等安全事故（事件）产生较大社会不良影响的；</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（三）</w:t>
      </w:r>
      <w:r>
        <w:rPr>
          <w:rFonts w:hint="eastAsia" w:ascii="仿宋_GB2312" w:hAnsi="微软雅黑" w:eastAsia="仿宋_GB2312"/>
          <w:color w:val="000000" w:themeColor="text1"/>
          <w:sz w:val="32"/>
          <w:szCs w:val="32"/>
        </w:rPr>
        <w:t>因销售假冒伪劣商品，或因严重侵害消费者权益行为被行政处罚或追究刑事责任的；</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（四）</w:t>
      </w:r>
      <w:r>
        <w:rPr>
          <w:rFonts w:hint="eastAsia" w:ascii="仿宋_GB2312" w:hAnsi="微软雅黑" w:eastAsia="仿宋_GB2312"/>
          <w:color w:val="000000" w:themeColor="text1"/>
          <w:sz w:val="32"/>
          <w:szCs w:val="32"/>
        </w:rPr>
        <w:t>消费纠纷投诉频发且处理不主动不及时，或发生重大或群体性消费投诉事件影响社会稳定，或造成较大社会负面影响的；</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（五）</w:t>
      </w:r>
      <w:r>
        <w:rPr>
          <w:rFonts w:hint="eastAsia" w:ascii="仿宋_GB2312" w:hAnsi="微软雅黑" w:eastAsia="仿宋_GB2312"/>
          <w:color w:val="000000" w:themeColor="text1"/>
          <w:sz w:val="32"/>
          <w:szCs w:val="32"/>
        </w:rPr>
        <w:t>在消费者组织、媒体舆论、社会公众等消费监督中被反映与其承诺不相符，经查证属实的；</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（六）</w:t>
      </w:r>
      <w:r>
        <w:rPr>
          <w:rFonts w:hint="eastAsia" w:ascii="仿宋_GB2312" w:hAnsi="微软雅黑" w:eastAsia="仿宋_GB2312"/>
          <w:color w:val="000000" w:themeColor="text1"/>
          <w:sz w:val="32"/>
          <w:szCs w:val="32"/>
        </w:rPr>
        <w:t xml:space="preserve">经营主体停业、经营不正常、经营困难已难以达到放心消费创建条件的，或自动放弃放心消费创建的； </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（七）</w:t>
      </w:r>
      <w:r>
        <w:rPr>
          <w:rFonts w:hint="eastAsia" w:ascii="仿宋_GB2312" w:hAnsi="微软雅黑" w:eastAsia="仿宋_GB2312"/>
          <w:color w:val="000000" w:themeColor="text1"/>
          <w:sz w:val="32"/>
          <w:szCs w:val="32"/>
        </w:rPr>
        <w:t>其他应当予以撤销的情形。</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b/>
          <w:color w:val="000000" w:themeColor="text1"/>
          <w:sz w:val="32"/>
          <w:szCs w:val="32"/>
        </w:rPr>
        <w:t>第二十条</w:t>
      </w:r>
      <w:r>
        <w:rPr>
          <w:rFonts w:hint="eastAsia" w:ascii="仿宋_GB2312" w:hAnsi="微软雅黑" w:eastAsia="仿宋_GB2312"/>
          <w:color w:val="000000" w:themeColor="text1"/>
          <w:sz w:val="32"/>
          <w:szCs w:val="32"/>
        </w:rPr>
        <w:t>  被撤销放心消费创建单位称号的，由市放心消费创建活动领导小组对外公布，责令其停止使用“江门市放心消费创建单位”统一LOGO标识。</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2"/>
          <w:szCs w:val="32"/>
        </w:rPr>
      </w:pPr>
      <w:r>
        <w:rPr>
          <w:rFonts w:hint="eastAsia" w:ascii="仿宋_GB2312" w:hAnsi="微软雅黑" w:eastAsia="仿宋_GB2312"/>
          <w:color w:val="000000" w:themeColor="text1"/>
          <w:sz w:val="32"/>
          <w:szCs w:val="32"/>
        </w:rPr>
        <w:t>本办法自发布之日起施行。由江门市放心消费创建活动领导小组负责解释。</w:t>
      </w:r>
    </w:p>
    <w:p>
      <w:pPr>
        <w:pStyle w:val="5"/>
        <w:keepNext w:val="0"/>
        <w:keepLines w:val="0"/>
        <w:pageBreakBefore w:val="0"/>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0"/>
          <w:szCs w:val="30"/>
        </w:rPr>
      </w:pPr>
      <w:r>
        <w:rPr>
          <w:rFonts w:ascii="仿宋_GB2312" w:hAnsi="微软雅黑" w:eastAsia="仿宋_GB2312"/>
          <w:color w:val="000000" w:themeColor="text1"/>
          <w:sz w:val="32"/>
          <w:szCs w:val="32"/>
        </w:rPr>
        <w:br w:type="page"/>
      </w:r>
    </w:p>
    <w:p>
      <w:pPr>
        <w:keepNext w:val="0"/>
        <w:keepLines w:val="0"/>
        <w:pageBreakBefore w:val="0"/>
        <w:kinsoku/>
        <w:wordWrap/>
        <w:overflowPunct/>
        <w:topLinePunct w:val="0"/>
        <w:autoSpaceDE/>
        <w:bidi w:val="0"/>
        <w:ind w:left="0" w:leftChars="0" w:right="0" w:rightChars="0"/>
        <w:jc w:val="both"/>
        <w:textAlignment w:val="auto"/>
        <w:outlineLvl w:val="9"/>
        <w:rPr>
          <w:rStyle w:val="7"/>
          <w:rFonts w:ascii="黑体" w:hAnsi="黑体" w:eastAsia="黑体"/>
          <w:bCs w:val="0"/>
          <w:color w:val="686C6C"/>
          <w:sz w:val="36"/>
          <w:szCs w:val="36"/>
        </w:rPr>
      </w:pPr>
      <w:r>
        <w:rPr>
          <w:rStyle w:val="7"/>
          <w:rFonts w:hint="eastAsia" w:ascii="黑体" w:hAnsi="黑体" w:eastAsia="黑体"/>
          <w:bCs w:val="0"/>
          <w:color w:val="686C6C"/>
          <w:sz w:val="36"/>
          <w:szCs w:val="36"/>
        </w:rPr>
        <w:t>附件1</w:t>
      </w:r>
    </w:p>
    <w:p>
      <w:pPr>
        <w:keepNext w:val="0"/>
        <w:keepLines w:val="0"/>
        <w:pageBreakBefore w:val="0"/>
        <w:kinsoku/>
        <w:wordWrap/>
        <w:overflowPunct/>
        <w:topLinePunct w:val="0"/>
        <w:autoSpaceDE/>
        <w:bidi w:val="0"/>
        <w:ind w:left="0" w:leftChars="0" w:right="0" w:rightChars="0"/>
        <w:jc w:val="both"/>
        <w:textAlignment w:val="auto"/>
        <w:outlineLvl w:val="9"/>
        <w:rPr>
          <w:rStyle w:val="7"/>
          <w:rFonts w:ascii="黑体" w:hAnsi="黑体" w:eastAsia="黑体"/>
          <w:bCs w:val="0"/>
          <w:color w:val="686C6C"/>
          <w:sz w:val="36"/>
          <w:szCs w:val="36"/>
        </w:rPr>
      </w:pPr>
      <w:r>
        <w:rPr>
          <w:rStyle w:val="7"/>
          <w:rFonts w:hint="eastAsia" w:ascii="黑体" w:hAnsi="黑体" w:eastAsia="黑体"/>
          <w:bCs w:val="0"/>
          <w:color w:val="686C6C"/>
          <w:sz w:val="36"/>
          <w:szCs w:val="36"/>
        </w:rPr>
        <w:t>江门市放心消费创建单位申报表</w:t>
      </w:r>
    </w:p>
    <w:p>
      <w:pPr>
        <w:keepNext w:val="0"/>
        <w:keepLines w:val="0"/>
        <w:pageBreakBefore w:val="0"/>
        <w:kinsoku/>
        <w:wordWrap/>
        <w:overflowPunct/>
        <w:topLinePunct w:val="0"/>
        <w:autoSpaceDE/>
        <w:bidi w:val="0"/>
        <w:ind w:left="0" w:leftChars="0" w:right="0" w:rightChars="0" w:firstLine="1760" w:firstLineChars="550"/>
        <w:jc w:val="both"/>
        <w:textAlignment w:val="auto"/>
        <w:outlineLvl w:val="9"/>
        <w:rPr>
          <w:rFonts w:ascii="仿宋_GB2312" w:eastAsia="仿宋_GB2312"/>
          <w:sz w:val="32"/>
          <w:szCs w:val="32"/>
        </w:rPr>
      </w:pPr>
      <w:r>
        <w:rPr>
          <w:rFonts w:hint="eastAsia" w:ascii="仿宋_GB2312" w:eastAsia="仿宋_GB2312"/>
          <w:sz w:val="32"/>
          <w:szCs w:val="32"/>
        </w:rPr>
        <w:t xml:space="preserve">             填表日期：     年   月   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83"/>
        <w:gridCol w:w="888"/>
        <w:gridCol w:w="1947"/>
        <w:gridCol w:w="231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130"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color w:val="000000"/>
                <w:kern w:val="0"/>
                <w:sz w:val="24"/>
                <w:szCs w:val="24"/>
              </w:rPr>
              <w:t>申报单位（盖章）</w:t>
            </w:r>
          </w:p>
        </w:tc>
        <w:tc>
          <w:tcPr>
            <w:tcW w:w="6392"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30"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负责人</w:t>
            </w:r>
          </w:p>
        </w:tc>
        <w:tc>
          <w:tcPr>
            <w:tcW w:w="1947" w:type="dxa"/>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tc>
        <w:tc>
          <w:tcPr>
            <w:tcW w:w="2314" w:type="dxa"/>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营业执照号码</w:t>
            </w:r>
          </w:p>
        </w:tc>
        <w:tc>
          <w:tcPr>
            <w:tcW w:w="2131" w:type="dxa"/>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130"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经营场所</w:t>
            </w:r>
          </w:p>
        </w:tc>
        <w:tc>
          <w:tcPr>
            <w:tcW w:w="6392"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color w:val="000000"/>
                <w:kern w:val="0"/>
                <w:sz w:val="24"/>
                <w:szCs w:val="24"/>
              </w:rPr>
              <w:t>联系人、电话</w:t>
            </w:r>
          </w:p>
        </w:tc>
        <w:tc>
          <w:tcPr>
            <w:tcW w:w="6392" w:type="dxa"/>
            <w:gridSpan w:val="3"/>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5" w:hRule="atLeast"/>
        </w:trPr>
        <w:tc>
          <w:tcPr>
            <w:tcW w:w="959" w:type="dxa"/>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申报单位主要情况、申报理由和创建措施</w:t>
            </w:r>
          </w:p>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p>
        </w:tc>
        <w:tc>
          <w:tcPr>
            <w:tcW w:w="7563" w:type="dxa"/>
            <w:gridSpan w:val="5"/>
            <w:vAlign w:val="bottom"/>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（可另附页）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0" w:hRule="atLeast"/>
        </w:trPr>
        <w:tc>
          <w:tcPr>
            <w:tcW w:w="1242" w:type="dxa"/>
            <w:gridSpan w:val="2"/>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主管部门初审意见</w:t>
            </w:r>
          </w:p>
        </w:tc>
        <w:tc>
          <w:tcPr>
            <w:tcW w:w="7280" w:type="dxa"/>
            <w:gridSpan w:val="4"/>
            <w:vAlign w:val="bottom"/>
          </w:tcPr>
          <w:p>
            <w:pPr>
              <w:keepNext w:val="0"/>
              <w:keepLines w:val="0"/>
              <w:pageBreakBefore w:val="0"/>
              <w:widowControl/>
              <w:kinsoku/>
              <w:wordWrap/>
              <w:overflowPunct/>
              <w:topLinePunct w:val="0"/>
              <w:autoSpaceDE/>
              <w:bidi w:val="0"/>
              <w:ind w:left="0" w:leftChars="0" w:right="0" w:rightChars="0"/>
              <w:jc w:val="both"/>
              <w:textAlignment w:val="auto"/>
              <w:outlineLvl w:val="9"/>
              <w:rPr>
                <w:rFonts w:ascii="仿宋_GB2312" w:eastAsia="仿宋_GB2312"/>
                <w:color w:val="000000"/>
                <w:kern w:val="0"/>
                <w:sz w:val="24"/>
                <w:szCs w:val="24"/>
              </w:rPr>
            </w:pPr>
          </w:p>
          <w:p>
            <w:pPr>
              <w:keepNext w:val="0"/>
              <w:keepLines w:val="0"/>
              <w:pageBreakBefore w:val="0"/>
              <w:widowControl/>
              <w:kinsoku/>
              <w:wordWrap/>
              <w:overflowPunct/>
              <w:topLinePunct w:val="0"/>
              <w:autoSpaceDE/>
              <w:bidi w:val="0"/>
              <w:spacing w:line="360" w:lineRule="exact"/>
              <w:ind w:left="0" w:leftChars="0" w:right="0" w:rightChars="0"/>
              <w:jc w:val="both"/>
              <w:textAlignment w:val="auto"/>
              <w:outlineLvl w:val="9"/>
              <w:rPr>
                <w:rFonts w:ascii="仿宋_GB2312" w:eastAsia="仿宋_GB2312"/>
                <w:sz w:val="24"/>
                <w:szCs w:val="24"/>
              </w:rPr>
            </w:pPr>
            <w:r>
              <w:rPr>
                <w:rFonts w:hint="eastAsia" w:ascii="仿宋_GB2312" w:eastAsia="仿宋_GB2312"/>
                <w:color w:val="000000"/>
                <w:kern w:val="0"/>
                <w:sz w:val="24"/>
                <w:szCs w:val="24"/>
              </w:rPr>
              <w:t xml:space="preserve">                         </w:t>
            </w:r>
          </w:p>
          <w:p>
            <w:pPr>
              <w:keepNext w:val="0"/>
              <w:keepLines w:val="0"/>
              <w:pageBreakBefore w:val="0"/>
              <w:kinsoku/>
              <w:wordWrap/>
              <w:overflowPunct/>
              <w:topLinePunct w:val="0"/>
              <w:autoSpaceDE/>
              <w:bidi w:val="0"/>
              <w:spacing w:line="360" w:lineRule="exact"/>
              <w:ind w:left="0" w:leftChars="0" w:right="0" w:rightChars="0"/>
              <w:jc w:val="both"/>
              <w:textAlignment w:val="auto"/>
              <w:outlineLvl w:val="9"/>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4" w:hRule="atLeast"/>
        </w:trPr>
        <w:tc>
          <w:tcPr>
            <w:tcW w:w="1242" w:type="dxa"/>
            <w:gridSpan w:val="2"/>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消费者体验反馈</w:t>
            </w:r>
          </w:p>
        </w:tc>
        <w:tc>
          <w:tcPr>
            <w:tcW w:w="7280" w:type="dxa"/>
            <w:gridSpan w:val="4"/>
            <w:vAlign w:val="center"/>
          </w:tcPr>
          <w:p>
            <w:pPr>
              <w:keepNext w:val="0"/>
              <w:keepLines w:val="0"/>
              <w:pageBreakBefore w:val="0"/>
              <w:widowControl/>
              <w:kinsoku/>
              <w:wordWrap/>
              <w:overflowPunct/>
              <w:topLinePunct w:val="0"/>
              <w:autoSpaceDE/>
              <w:bidi w:val="0"/>
              <w:spacing w:line="360" w:lineRule="exact"/>
              <w:ind w:left="0" w:leftChars="0" w:right="0" w:rightChars="0"/>
              <w:jc w:val="both"/>
              <w:textAlignment w:val="auto"/>
              <w:outlineLvl w:val="9"/>
              <w:rPr>
                <w:rFonts w:ascii="仿宋_GB2312" w:eastAsia="仿宋_GB2312"/>
                <w:color w:val="000000"/>
                <w:kern w:val="0"/>
                <w:sz w:val="24"/>
                <w:szCs w:val="24"/>
              </w:rPr>
            </w:pPr>
            <w:r>
              <w:rPr>
                <w:rFonts w:hint="eastAsia" w:ascii="仿宋_GB2312" w:eastAsia="仿宋_GB2312"/>
                <w:color w:val="000000"/>
                <w:kern w:val="0"/>
                <w:sz w:val="24"/>
                <w:szCs w:val="24"/>
              </w:rPr>
              <w:t xml:space="preserve">                         </w:t>
            </w:r>
          </w:p>
          <w:p>
            <w:pPr>
              <w:keepNext w:val="0"/>
              <w:keepLines w:val="0"/>
              <w:pageBreakBefore w:val="0"/>
              <w:widowControl/>
              <w:kinsoku/>
              <w:wordWrap/>
              <w:overflowPunct/>
              <w:topLinePunct w:val="0"/>
              <w:autoSpaceDE/>
              <w:bidi w:val="0"/>
              <w:spacing w:line="360" w:lineRule="exact"/>
              <w:ind w:left="0" w:leftChars="0" w:right="0" w:rightChars="0"/>
              <w:jc w:val="both"/>
              <w:textAlignment w:val="auto"/>
              <w:outlineLvl w:val="9"/>
              <w:rPr>
                <w:rFonts w:ascii="仿宋_GB2312" w:eastAsia="仿宋_GB2312"/>
                <w:color w:val="000000"/>
                <w:kern w:val="0"/>
                <w:sz w:val="24"/>
                <w:szCs w:val="24"/>
              </w:rPr>
            </w:pPr>
          </w:p>
          <w:p>
            <w:pPr>
              <w:keepNext w:val="0"/>
              <w:keepLines w:val="0"/>
              <w:pageBreakBefore w:val="0"/>
              <w:widowControl/>
              <w:kinsoku/>
              <w:wordWrap/>
              <w:overflowPunct/>
              <w:topLinePunct w:val="0"/>
              <w:autoSpaceDE/>
              <w:bidi w:val="0"/>
              <w:spacing w:line="360" w:lineRule="exact"/>
              <w:ind w:left="0" w:leftChars="0" w:right="0" w:rightChars="0"/>
              <w:jc w:val="both"/>
              <w:textAlignment w:val="auto"/>
              <w:outlineLvl w:val="9"/>
              <w:rPr>
                <w:rFonts w:ascii="仿宋_GB2312" w:eastAsia="仿宋_GB2312"/>
                <w:sz w:val="24"/>
                <w:szCs w:val="24"/>
              </w:rPr>
            </w:pPr>
            <w:r>
              <w:rPr>
                <w:rFonts w:hint="eastAsia" w:ascii="仿宋_GB2312" w:eastAsia="仿宋_GB2312"/>
                <w:color w:val="000000"/>
                <w:kern w:val="0"/>
                <w:sz w:val="24"/>
                <w:szCs w:val="24"/>
              </w:rPr>
              <w:t xml:space="preserve">                          </w:t>
            </w:r>
          </w:p>
          <w:p>
            <w:pPr>
              <w:keepNext w:val="0"/>
              <w:keepLines w:val="0"/>
              <w:pageBreakBefore w:val="0"/>
              <w:widowControl/>
              <w:kinsoku/>
              <w:wordWrap/>
              <w:overflowPunct/>
              <w:topLinePunct w:val="0"/>
              <w:autoSpaceDE/>
              <w:bidi w:val="0"/>
              <w:spacing w:line="360" w:lineRule="exact"/>
              <w:ind w:left="0" w:leftChars="0" w:right="0" w:rightChars="0"/>
              <w:jc w:val="both"/>
              <w:textAlignment w:val="auto"/>
              <w:outlineLvl w:val="9"/>
              <w:rPr>
                <w:rFonts w:asci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2" w:hRule="atLeast"/>
        </w:trPr>
        <w:tc>
          <w:tcPr>
            <w:tcW w:w="1242" w:type="dxa"/>
            <w:gridSpan w:val="2"/>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社会评估</w:t>
            </w:r>
          </w:p>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结    果</w:t>
            </w:r>
          </w:p>
        </w:tc>
        <w:tc>
          <w:tcPr>
            <w:tcW w:w="7280" w:type="dxa"/>
            <w:gridSpan w:val="4"/>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trPr>
        <w:tc>
          <w:tcPr>
            <w:tcW w:w="1242" w:type="dxa"/>
            <w:gridSpan w:val="2"/>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异议公示情    况</w:t>
            </w:r>
          </w:p>
        </w:tc>
        <w:tc>
          <w:tcPr>
            <w:tcW w:w="7280" w:type="dxa"/>
            <w:gridSpan w:val="4"/>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1" w:hRule="atLeast"/>
        </w:trPr>
        <w:tc>
          <w:tcPr>
            <w:tcW w:w="1242" w:type="dxa"/>
            <w:gridSpan w:val="2"/>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4"/>
                <w:szCs w:val="24"/>
              </w:rPr>
            </w:pPr>
            <w:r>
              <w:rPr>
                <w:rFonts w:hint="eastAsia" w:ascii="仿宋_GB2312" w:eastAsia="仿宋_GB2312"/>
                <w:sz w:val="24"/>
                <w:szCs w:val="24"/>
              </w:rPr>
              <w:t>终审结果</w:t>
            </w:r>
          </w:p>
        </w:tc>
        <w:tc>
          <w:tcPr>
            <w:tcW w:w="7280" w:type="dxa"/>
            <w:gridSpan w:val="4"/>
            <w:vAlign w:val="center"/>
          </w:tcPr>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color w:val="000000"/>
                <w:kern w:val="0"/>
                <w:sz w:val="24"/>
                <w:szCs w:val="24"/>
              </w:rPr>
            </w:pPr>
          </w:p>
        </w:tc>
      </w:tr>
    </w:tbl>
    <w:p>
      <w:pPr>
        <w:keepNext w:val="0"/>
        <w:keepLines w:val="0"/>
        <w:pageBreakBefore w:val="0"/>
        <w:kinsoku/>
        <w:wordWrap/>
        <w:overflowPunct/>
        <w:topLinePunct w:val="0"/>
        <w:autoSpaceDE/>
        <w:bidi w:val="0"/>
        <w:spacing w:line="600" w:lineRule="exact"/>
        <w:ind w:left="0" w:leftChars="0" w:right="0" w:rightChars="0"/>
        <w:jc w:val="both"/>
        <w:textAlignment w:val="auto"/>
        <w:outlineLvl w:val="9"/>
        <w:rPr>
          <w:rFonts w:eastAsia="仿宋"/>
          <w:sz w:val="28"/>
          <w:szCs w:val="28"/>
        </w:rPr>
      </w:pPr>
      <w:r>
        <w:rPr>
          <w:rFonts w:eastAsia="仿宋"/>
          <w:sz w:val="28"/>
          <w:szCs w:val="28"/>
        </w:rPr>
        <w:t>说明</w:t>
      </w:r>
      <w:r>
        <w:rPr>
          <w:rFonts w:hint="eastAsia" w:eastAsia="仿宋"/>
          <w:sz w:val="28"/>
          <w:szCs w:val="28"/>
        </w:rPr>
        <w:t>：此表一式三份，申报单位、县级创建办、市级创建办分别留存。</w:t>
      </w:r>
    </w:p>
    <w:p>
      <w:pPr>
        <w:keepNext w:val="0"/>
        <w:keepLines w:val="0"/>
        <w:pageBreakBefore w:val="0"/>
        <w:kinsoku/>
        <w:wordWrap/>
        <w:overflowPunct/>
        <w:topLinePunct w:val="0"/>
        <w:autoSpaceDE/>
        <w:bidi w:val="0"/>
        <w:ind w:left="0" w:leftChars="0" w:right="0" w:rightChars="0"/>
        <w:jc w:val="both"/>
        <w:textAlignment w:val="auto"/>
        <w:outlineLvl w:val="9"/>
      </w:pPr>
    </w:p>
    <w:p>
      <w:pPr>
        <w:pStyle w:val="5"/>
        <w:keepNext w:val="0"/>
        <w:keepLines w:val="0"/>
        <w:pageBreakBefore w:val="0"/>
        <w:shd w:val="clear" w:color="auto" w:fill="FFFFFF"/>
        <w:kinsoku/>
        <w:wordWrap/>
        <w:overflowPunct/>
        <w:topLinePunct w:val="0"/>
        <w:autoSpaceDE/>
        <w:bidi w:val="0"/>
        <w:spacing w:before="0" w:beforeAutospacing="0" w:after="0" w:afterAutospacing="0" w:line="360" w:lineRule="auto"/>
        <w:ind w:left="0" w:leftChars="0" w:right="0" w:rightChars="0" w:firstLine="480"/>
        <w:jc w:val="both"/>
        <w:textAlignment w:val="auto"/>
        <w:outlineLvl w:val="9"/>
        <w:rPr>
          <w:rFonts w:ascii="仿宋_GB2312" w:hAnsi="微软雅黑" w:eastAsia="仿宋_GB2312"/>
          <w:color w:val="000000" w:themeColor="text1"/>
          <w:sz w:val="30"/>
          <w:szCs w:val="30"/>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autoSpaceDE/>
        <w:bidi w:val="0"/>
        <w:ind w:left="0" w:leftChars="0" w:right="0" w:rightChars="0"/>
        <w:jc w:val="both"/>
        <w:textAlignment w:val="auto"/>
        <w:outlineLvl w:val="9"/>
        <w:rPr>
          <w:rStyle w:val="7"/>
          <w:rFonts w:asciiTheme="majorEastAsia" w:hAnsiTheme="majorEastAsia" w:eastAsiaTheme="majorEastAsia"/>
          <w:bCs w:val="0"/>
          <w:sz w:val="44"/>
          <w:szCs w:val="44"/>
        </w:rPr>
      </w:pPr>
      <w:r>
        <w:rPr>
          <w:rStyle w:val="7"/>
          <w:rFonts w:hint="eastAsia" w:asciiTheme="majorEastAsia" w:hAnsiTheme="majorEastAsia" w:eastAsiaTheme="majorEastAsia"/>
          <w:bCs w:val="0"/>
          <w:sz w:val="44"/>
          <w:szCs w:val="44"/>
        </w:rPr>
        <w:t>附件3</w:t>
      </w:r>
    </w:p>
    <w:p>
      <w:pPr>
        <w:keepNext w:val="0"/>
        <w:keepLines w:val="0"/>
        <w:pageBreakBefore w:val="0"/>
        <w:kinsoku/>
        <w:wordWrap/>
        <w:overflowPunct/>
        <w:topLinePunct w:val="0"/>
        <w:autoSpaceDE/>
        <w:bidi w:val="0"/>
        <w:ind w:left="0" w:leftChars="0" w:right="0" w:rightChars="0" w:firstLine="1540" w:firstLineChars="350"/>
        <w:jc w:val="both"/>
        <w:textAlignment w:val="auto"/>
        <w:outlineLvl w:val="9"/>
        <w:rPr>
          <w:rStyle w:val="7"/>
          <w:rFonts w:asciiTheme="majorEastAsia" w:hAnsiTheme="majorEastAsia" w:eastAsiaTheme="majorEastAsia"/>
          <w:sz w:val="44"/>
          <w:szCs w:val="44"/>
        </w:rPr>
      </w:pPr>
      <w:r>
        <w:rPr>
          <w:rStyle w:val="7"/>
          <w:rFonts w:hint="eastAsia" w:asciiTheme="majorEastAsia" w:hAnsiTheme="majorEastAsia" w:eastAsiaTheme="majorEastAsia"/>
          <w:bCs w:val="0"/>
          <w:sz w:val="44"/>
          <w:szCs w:val="44"/>
        </w:rPr>
        <w:t>江门市放心消费创建单位</w:t>
      </w:r>
      <w:r>
        <w:rPr>
          <w:rStyle w:val="7"/>
          <w:rFonts w:hint="eastAsia" w:asciiTheme="majorEastAsia" w:hAnsiTheme="majorEastAsia" w:eastAsiaTheme="majorEastAsia"/>
          <w:sz w:val="44"/>
          <w:szCs w:val="44"/>
        </w:rPr>
        <w:t>考核表</w:t>
      </w:r>
    </w:p>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sz w:val="28"/>
          <w:szCs w:val="28"/>
        </w:rPr>
      </w:pPr>
      <w:r>
        <w:rPr>
          <w:rFonts w:hint="eastAsia" w:ascii="仿宋_GB2312" w:eastAsia="仿宋_GB2312"/>
          <w:sz w:val="28"/>
          <w:szCs w:val="28"/>
        </w:rPr>
        <w:t xml:space="preserve">单位：                     </w:t>
      </w:r>
    </w:p>
    <w:tbl>
      <w:tblPr>
        <w:tblStyle w:val="9"/>
        <w:tblpPr w:leftFromText="180" w:rightFromText="180" w:vertAnchor="text" w:tblpY="1"/>
        <w:tblOverlap w:val="never"/>
        <w:tblW w:w="13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18"/>
        <w:gridCol w:w="4536"/>
        <w:gridCol w:w="850"/>
        <w:gridCol w:w="3544"/>
        <w:gridCol w:w="99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blHeader/>
        </w:trPr>
        <w:tc>
          <w:tcPr>
            <w:tcW w:w="817"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序号</w:t>
            </w:r>
          </w:p>
        </w:tc>
        <w:tc>
          <w:tcPr>
            <w:tcW w:w="1418"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考核内容</w:t>
            </w:r>
          </w:p>
        </w:tc>
        <w:tc>
          <w:tcPr>
            <w:tcW w:w="4536"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具体标准</w:t>
            </w:r>
          </w:p>
        </w:tc>
        <w:tc>
          <w:tcPr>
            <w:tcW w:w="850"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分值</w:t>
            </w:r>
          </w:p>
        </w:tc>
        <w:tc>
          <w:tcPr>
            <w:tcW w:w="3544"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评分细则</w:t>
            </w:r>
          </w:p>
        </w:tc>
        <w:tc>
          <w:tcPr>
            <w:tcW w:w="992"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考评分</w:t>
            </w:r>
          </w:p>
        </w:tc>
        <w:tc>
          <w:tcPr>
            <w:tcW w:w="1701"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8" w:hRule="atLeast"/>
          <w:tblHeader/>
        </w:trPr>
        <w:tc>
          <w:tcPr>
            <w:tcW w:w="817"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1</w:t>
            </w:r>
          </w:p>
        </w:tc>
        <w:tc>
          <w:tcPr>
            <w:tcW w:w="1418"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s="宋体"/>
                <w:b/>
                <w:color w:val="000000" w:themeColor="text1"/>
                <w:szCs w:val="21"/>
              </w:rPr>
            </w:pPr>
            <w:r>
              <w:rPr>
                <w:rFonts w:hint="eastAsia" w:ascii="仿宋_GB2312" w:hAnsi="微软雅黑" w:eastAsia="仿宋_GB2312" w:cs="宋体"/>
                <w:b/>
                <w:color w:val="000000" w:themeColor="text1"/>
                <w:szCs w:val="21"/>
              </w:rPr>
              <w:t>消费安全</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s="宋体"/>
                <w:b/>
                <w:color w:val="000000" w:themeColor="text1"/>
                <w:szCs w:val="21"/>
              </w:rPr>
            </w:pPr>
            <w:r>
              <w:rPr>
                <w:rFonts w:hint="eastAsia" w:ascii="仿宋_GB2312" w:hAnsi="微软雅黑" w:eastAsia="仿宋_GB2312" w:cs="宋体"/>
                <w:b/>
                <w:color w:val="000000" w:themeColor="text1"/>
                <w:szCs w:val="21"/>
              </w:rPr>
              <w:t>放    心</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hAnsi="微软雅黑" w:eastAsia="仿宋_GB2312" w:cs="宋体"/>
                <w:b/>
                <w:color w:val="000000" w:themeColor="text1"/>
                <w:szCs w:val="21"/>
              </w:rPr>
              <w:t>(25分)</w:t>
            </w:r>
          </w:p>
        </w:tc>
        <w:tc>
          <w:tcPr>
            <w:tcW w:w="4536" w:type="dxa"/>
            <w:vAlign w:val="center"/>
          </w:tcPr>
          <w:p>
            <w:pPr>
              <w:pStyle w:val="12"/>
              <w:keepNext w:val="0"/>
              <w:keepLines w:val="0"/>
              <w:pageBreakBefore w:val="0"/>
              <w:widowControl w:val="0"/>
              <w:kinsoku/>
              <w:wordWrap/>
              <w:overflowPunct/>
              <w:topLinePunct w:val="0"/>
              <w:autoSpaceDE/>
              <w:autoSpaceDN w:val="0"/>
              <w:bidi w:val="0"/>
              <w:adjustRightInd w:val="0"/>
              <w:snapToGrid w:val="0"/>
              <w:spacing w:line="240" w:lineRule="exact"/>
              <w:ind w:left="0" w:leftChars="0" w:right="0" w:rightChars="0" w:firstLine="0"/>
              <w:jc w:val="both"/>
              <w:textAlignment w:val="auto"/>
              <w:outlineLvl w:val="9"/>
              <w:rPr>
                <w:rFonts w:ascii="仿宋_GB2312" w:eastAsia="仿宋_GB2312"/>
              </w:rPr>
            </w:pPr>
            <w:r>
              <w:rPr>
                <w:rFonts w:hint="eastAsia" w:ascii="仿宋_GB2312" w:eastAsia="仿宋_GB2312"/>
                <w:kern w:val="2"/>
              </w:rPr>
              <w:t>消费场地场所、设施设备符合国家安全标准，</w:t>
            </w:r>
            <w:r>
              <w:rPr>
                <w:rFonts w:hint="eastAsia" w:ascii="仿宋_GB2312" w:eastAsia="仿宋_GB2312"/>
              </w:rPr>
              <w:t>不含安全隐患</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消费场所、设备设施不符合国家安全标准，每一处扣1分；发现安全隐患每处扣1分；扣完为止</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r>
              <w:rPr>
                <w:rFonts w:hint="eastAsia" w:ascii="仿宋_GB2312" w:eastAsia="仿宋_GB2312"/>
                <w:szCs w:val="21"/>
              </w:rPr>
              <w:t>配备专（兼）职安全工作人员，开展经常性安全巡查检查；从事特殊行业的单位及从业人员，具备法定资质和从业资格</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没有配备</w:t>
            </w:r>
            <w:r>
              <w:rPr>
                <w:rFonts w:hint="eastAsia" w:ascii="仿宋_GB2312" w:eastAsia="仿宋_GB2312"/>
                <w:szCs w:val="21"/>
              </w:rPr>
              <w:t>配备专（兼）职安全工作人员扣2分；没有开展经常性安全巡查检查扣2分；从事特殊行业的单位及从业人员，不具备法定资质和从业资格，扣3分；扣完为止</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8"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szCs w:val="21"/>
              </w:rPr>
              <w:t>人体健康、生命安全保障制度切实可行，安保措施具体到位，有突发事件应急处置方案预案，突发事件应急处置科学得当</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szCs w:val="21"/>
              </w:rPr>
              <w:t>无安全保障制度、安保措施或制度不落实、安保措施不具体到位，扣3分；无突发事件应急处置方案预案，或突发事件应急处置不当，扣2分；扣完为止</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2"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szCs w:val="21"/>
              </w:rPr>
              <w:t>２年内无安全、环境污染和公共卫生、食品药品安全等事故</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10</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2年内发生过</w:t>
            </w:r>
            <w:r>
              <w:rPr>
                <w:rFonts w:hint="eastAsia" w:ascii="仿宋_GB2312" w:eastAsia="仿宋_GB2312"/>
                <w:szCs w:val="21"/>
              </w:rPr>
              <w:t>安全、环境污染和公共卫生、食品药品安全等事故的，扣10分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6" w:hRule="atLeast"/>
          <w:tblHeader/>
        </w:trPr>
        <w:tc>
          <w:tcPr>
            <w:tcW w:w="817"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2</w:t>
            </w:r>
          </w:p>
        </w:tc>
        <w:tc>
          <w:tcPr>
            <w:tcW w:w="1418"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消费质量</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放    心</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hAnsi="微软雅黑" w:eastAsia="仿宋_GB2312" w:cs="宋体"/>
                <w:b/>
                <w:color w:val="000000" w:themeColor="text1"/>
                <w:szCs w:val="21"/>
              </w:rPr>
              <w:t>(25分)</w:t>
            </w: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严格执行《中华人民共和国产品质量法》、《中华人民共和国食品安全法》等相关法律法规、制度标准和管理规范</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10</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违反相关法律法规、制度标准和管理规范的，视情节扣1至10分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商品的进货查验、下架退市、销毁等质量管理制度健全、有效;瑕疵、缺陷、不合格商品处置和“三包”等制度、规定落实到位;商品质量突发事件应急处置及时有效；当年无属于企业自身责任而引发的质量投诉和有关部门质量监督抽查不合格记录</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15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商品的进货查验、下架退市、销毁等质量管理制度不健全，扣5分；瑕疵、缺陷、不合格商品处置和“三包”等制度、规定落实不到位，扣5分;商品质量突发事件应急处置不及时扣5分；当年发生因企业自身责任引发的质量投诉和有关部门质量监督抽查不合格记录，扣10分；扣完为止</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8" w:hRule="atLeast"/>
          <w:tblHeader/>
        </w:trPr>
        <w:tc>
          <w:tcPr>
            <w:tcW w:w="817"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3</w:t>
            </w:r>
          </w:p>
        </w:tc>
        <w:tc>
          <w:tcPr>
            <w:tcW w:w="1418"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消费价格</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放    心</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hAnsi="微软雅黑" w:eastAsia="仿宋_GB2312" w:cs="宋体"/>
                <w:b/>
                <w:color w:val="000000" w:themeColor="text1"/>
                <w:szCs w:val="21"/>
              </w:rPr>
              <w:t>(10分)</w:t>
            </w: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确保消费者价格权利的实现，执行政府定价、指导价以及价格干预措施、价格紧急措施等法定价格措施；按公平、合法和诚信原则制定实行市场调节价的商品和服务价格</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未执行政府定价、指导价以及价格干预措施、价格紧急措施等法定价格措施，扣3分；不按公平、合法和诚信原则制定实行市场调节价的商品和服务价格，扣2分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落实商品和服务明码标价，倡导明码实价；近2年无操纵价格、价格垄断、价格欺诈、变相提压价等价格违法行为</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不落实</w:t>
            </w:r>
            <w:r>
              <w:rPr>
                <w:rFonts w:hint="eastAsia" w:ascii="仿宋_GB2312" w:hAnsi="微软雅黑" w:eastAsia="仿宋_GB2312"/>
                <w:color w:val="000000" w:themeColor="text1"/>
                <w:szCs w:val="21"/>
              </w:rPr>
              <w:t>商品和服务明码标价，扣2分；近2年有操纵价格、价格垄断、价格欺诈、变相提压价等价格违法行为，扣3分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blHeader/>
        </w:trPr>
        <w:tc>
          <w:tcPr>
            <w:tcW w:w="817"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4</w:t>
            </w:r>
          </w:p>
        </w:tc>
        <w:tc>
          <w:tcPr>
            <w:tcW w:w="1418"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消费服务</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放    心</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hAnsi="微软雅黑" w:eastAsia="仿宋_GB2312" w:cs="宋体"/>
                <w:b/>
                <w:color w:val="000000" w:themeColor="text1"/>
                <w:szCs w:val="21"/>
              </w:rPr>
              <w:t>(20分)</w:t>
            </w: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提供的服务内容符合国家及行业标准</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1</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提供的服务内容不符合国家及行业标准，扣1分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9"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有比较系统、完善的服务管理制度，公开并自觉践行服务承诺，主动接受社会监督</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没有完善的服务管理制度，不公开并自觉践行服务承诺，不主动接受社会监督，视情节扣1至5分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及时履行商品修理、重作、更换、退货、补足商品数量、退还货款和服务费用或者赔偿损失等义务</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8</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不及时履行商品修理、重作、更换、退货、补足商品数量、退还货款和服务费用或者赔偿损失等义务，视情节扣1至8分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格式条款、通知、声明、店堂告示等无对消费者不公平、不合理的规定</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3</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合同、通知、声明中有对消费者不公平、不合理的内容，损害消费者利益的，视情节扣1至3分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有专门的服务机构或工作人员，积极参与消费者协会、媒体等组织的有关商品和服务消费者满意度调查，服务满意度在本市同行业处于领先</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3</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没有专门的服务机构或工作人员，扣1分；未积极参与消费者满意度调查，或服务满意度在同行业中排名较低的，扣2分</w:t>
            </w:r>
            <w:r>
              <w:rPr>
                <w:rFonts w:ascii="仿宋_GB2312" w:eastAsia="仿宋_GB2312"/>
                <w:color w:val="000000"/>
                <w:kern w:val="0"/>
                <w:szCs w:val="21"/>
              </w:rPr>
              <w:t xml:space="preserve"> </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6" w:hRule="atLeast"/>
          <w:tblHeader/>
        </w:trPr>
        <w:tc>
          <w:tcPr>
            <w:tcW w:w="817"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5</w:t>
            </w:r>
          </w:p>
        </w:tc>
        <w:tc>
          <w:tcPr>
            <w:tcW w:w="1418" w:type="dxa"/>
            <w:vMerge w:val="restart"/>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消费维权</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放    心</w:t>
            </w: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cs="宋体"/>
                <w:b/>
                <w:color w:val="000000" w:themeColor="text1"/>
                <w:szCs w:val="21"/>
              </w:rPr>
              <w:t>(20分)</w:t>
            </w: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自觉履行消费纠纷和解第一责任人责任，落实《消费者权益保护法》等有关法律、法规和规章制度</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不按《消费者权益保护法》等有关法律、法规和规章制度要求自觉履行消费纠纷和解第一责任人责任，视情节扣1至5分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6"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有规范的消费纠纷和解工作制度和专（兼）职工作人员，在消费场所公示投诉电话号码等有效的投诉方式，确保投诉举报渠道畅通，当年消费投诉和解率不低于85%，有投诉处理记录</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10</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没有相关的消费纠纷和解工作制度和专（兼）职工作人员，扣2分；未在消费场所公示投诉电话号码等有效的投诉方式，投诉举报渠道不畅通的，扣2分；当年消费投诉和解率低于85%，扣5分；无投诉处理记录，扣1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9" w:hRule="atLeast"/>
          <w:tblHeader/>
        </w:trPr>
        <w:tc>
          <w:tcPr>
            <w:tcW w:w="817"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p>
        </w:tc>
        <w:tc>
          <w:tcPr>
            <w:tcW w:w="1418" w:type="dxa"/>
            <w:vMerge w:val="continue"/>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投诉处理回访制度健全，受理和解记录和档案资料齐备，与相关部门有规范的报告机制</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5</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hAnsi="微软雅黑" w:eastAsia="仿宋_GB2312"/>
                <w:color w:val="000000" w:themeColor="text1"/>
                <w:szCs w:val="21"/>
              </w:rPr>
              <w:t>投诉处理回访制度不健全，受理和解记录和档案资料不齐备，未与相关部门建立规范的报告机制，视情节扣1至5分</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9" w:hRule="atLeast"/>
          <w:tblHeader/>
        </w:trPr>
        <w:tc>
          <w:tcPr>
            <w:tcW w:w="817"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b/>
                <w:szCs w:val="21"/>
              </w:rPr>
            </w:pPr>
            <w:r>
              <w:rPr>
                <w:rFonts w:hint="eastAsia" w:ascii="仿宋_GB2312" w:eastAsia="仿宋_GB2312"/>
                <w:b/>
                <w:szCs w:val="21"/>
              </w:rPr>
              <w:t>6</w:t>
            </w:r>
          </w:p>
        </w:tc>
        <w:tc>
          <w:tcPr>
            <w:tcW w:w="1418" w:type="dxa"/>
            <w:vAlign w:val="center"/>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eastAsia="仿宋_GB2312"/>
                <w:b/>
                <w:color w:val="000000"/>
                <w:kern w:val="0"/>
                <w:szCs w:val="21"/>
              </w:rPr>
              <w:t>总    分</w:t>
            </w:r>
          </w:p>
        </w:tc>
        <w:tc>
          <w:tcPr>
            <w:tcW w:w="4536"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color w:val="000000" w:themeColor="text1"/>
                <w:szCs w:val="21"/>
              </w:rPr>
            </w:pPr>
            <w:r>
              <w:rPr>
                <w:rFonts w:hint="eastAsia" w:ascii="仿宋_GB2312" w:hAnsi="微软雅黑" w:eastAsia="仿宋_GB2312"/>
                <w:color w:val="000000" w:themeColor="text1"/>
                <w:szCs w:val="21"/>
              </w:rPr>
              <w:t>——</w:t>
            </w:r>
          </w:p>
        </w:tc>
        <w:tc>
          <w:tcPr>
            <w:tcW w:w="850"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100</w:t>
            </w:r>
          </w:p>
        </w:tc>
        <w:tc>
          <w:tcPr>
            <w:tcW w:w="3544" w:type="dxa"/>
            <w:vAlign w:val="center"/>
          </w:tcPr>
          <w:p>
            <w:pPr>
              <w:keepNext w:val="0"/>
              <w:keepLines w:val="0"/>
              <w:pageBreakBefore w:val="0"/>
              <w:widowControl/>
              <w:kinsoku/>
              <w:wordWrap/>
              <w:overflowPunct/>
              <w:topLinePunct w:val="0"/>
              <w:autoSpaceDE/>
              <w:bidi w:val="0"/>
              <w:spacing w:line="240" w:lineRule="exact"/>
              <w:ind w:left="0" w:leftChars="0" w:right="0" w:rightChars="0"/>
              <w:jc w:val="both"/>
              <w:textAlignment w:val="auto"/>
              <w:outlineLvl w:val="9"/>
              <w:rPr>
                <w:rFonts w:ascii="仿宋_GB2312" w:eastAsia="仿宋_GB2312"/>
                <w:color w:val="000000"/>
                <w:kern w:val="0"/>
                <w:szCs w:val="21"/>
              </w:rPr>
            </w:pPr>
            <w:r>
              <w:rPr>
                <w:rFonts w:hint="eastAsia" w:ascii="仿宋_GB2312" w:eastAsia="仿宋_GB2312"/>
                <w:color w:val="000000"/>
                <w:kern w:val="0"/>
                <w:szCs w:val="21"/>
              </w:rPr>
              <w:t>——</w:t>
            </w:r>
          </w:p>
        </w:tc>
        <w:tc>
          <w:tcPr>
            <w:tcW w:w="992"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c>
          <w:tcPr>
            <w:tcW w:w="1701" w:type="dxa"/>
          </w:tcPr>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eastAsia="仿宋_GB2312"/>
                <w:szCs w:val="21"/>
              </w:rPr>
            </w:pPr>
          </w:p>
        </w:tc>
      </w:tr>
    </w:tbl>
    <w:p>
      <w:pPr>
        <w:keepNext w:val="0"/>
        <w:keepLines w:val="0"/>
        <w:pageBreakBefore w:val="0"/>
        <w:kinsoku/>
        <w:wordWrap/>
        <w:overflowPunct/>
        <w:topLinePunct w:val="0"/>
        <w:autoSpaceDE/>
        <w:bidi w:val="0"/>
        <w:spacing w:line="320" w:lineRule="exact"/>
        <w:ind w:left="0" w:leftChars="0" w:right="0" w:rightChars="0" w:firstLine="210" w:firstLineChars="100"/>
        <w:jc w:val="both"/>
        <w:textAlignment w:val="auto"/>
        <w:outlineLvl w:val="9"/>
        <w:rPr>
          <w:rFonts w:ascii="仿宋_GB2312" w:hAnsi="宋体" w:eastAsia="仿宋_GB2312"/>
          <w:color w:val="000000"/>
          <w:szCs w:val="21"/>
        </w:rPr>
      </w:pPr>
    </w:p>
    <w:p>
      <w:pPr>
        <w:keepNext w:val="0"/>
        <w:keepLines w:val="0"/>
        <w:pageBreakBefore w:val="0"/>
        <w:kinsoku/>
        <w:wordWrap/>
        <w:overflowPunct/>
        <w:topLinePunct w:val="0"/>
        <w:autoSpaceDE/>
        <w:bidi w:val="0"/>
        <w:spacing w:line="320" w:lineRule="exact"/>
        <w:ind w:left="0" w:leftChars="0" w:right="0" w:rightChars="0" w:firstLine="210" w:firstLineChars="100"/>
        <w:jc w:val="both"/>
        <w:textAlignment w:val="auto"/>
        <w:outlineLvl w:val="9"/>
        <w:rPr>
          <w:rFonts w:ascii="仿宋_GB2312" w:hAnsi="宋体" w:eastAsia="仿宋_GB2312"/>
          <w:color w:val="000000"/>
          <w:szCs w:val="21"/>
        </w:rPr>
      </w:pPr>
    </w:p>
    <w:p>
      <w:pPr>
        <w:keepNext w:val="0"/>
        <w:keepLines w:val="0"/>
        <w:pageBreakBefore w:val="0"/>
        <w:kinsoku/>
        <w:wordWrap/>
        <w:overflowPunct/>
        <w:topLinePunct w:val="0"/>
        <w:autoSpaceDE/>
        <w:bidi w:val="0"/>
        <w:spacing w:line="240" w:lineRule="exact"/>
        <w:ind w:left="0" w:leftChars="0" w:right="0" w:rightChars="0"/>
        <w:jc w:val="both"/>
        <w:textAlignment w:val="auto"/>
        <w:outlineLvl w:val="9"/>
        <w:rPr>
          <w:rFonts w:ascii="仿宋_GB2312" w:hAnsi="微软雅黑" w:eastAsia="仿宋_GB2312"/>
          <w:b/>
          <w:color w:val="000000" w:themeColor="text1"/>
          <w:szCs w:val="21"/>
        </w:rPr>
      </w:pPr>
      <w:r>
        <w:rPr>
          <w:rFonts w:hint="eastAsia" w:ascii="仿宋_GB2312" w:hAnsi="微软雅黑" w:eastAsia="仿宋_GB2312"/>
          <w:b/>
          <w:color w:val="000000" w:themeColor="text1"/>
          <w:szCs w:val="21"/>
        </w:rPr>
        <w:t>考核人：                                  考核日期</w:t>
      </w:r>
    </w:p>
    <w:p>
      <w:pPr>
        <w:keepNext w:val="0"/>
        <w:keepLines w:val="0"/>
        <w:pageBreakBefore w:val="0"/>
        <w:kinsoku/>
        <w:wordWrap/>
        <w:overflowPunct/>
        <w:topLinePunct w:val="0"/>
        <w:autoSpaceDE/>
        <w:bidi w:val="0"/>
        <w:ind w:left="0" w:leftChars="0" w:right="0" w:rightChars="0"/>
        <w:jc w:val="both"/>
        <w:textAlignment w:val="auto"/>
        <w:outlineLvl w:val="9"/>
        <w:rPr>
          <w:rFonts w:ascii="仿宋_GB2312" w:eastAsia="仿宋_GB2312"/>
          <w:color w:val="000000" w:themeColor="text1"/>
          <w:sz w:val="30"/>
          <w:szCs w:val="30"/>
        </w:rPr>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97149"/>
      <w:docPartObj>
        <w:docPartGallery w:val="autotext"/>
      </w:docPartObj>
    </w:sdtPr>
    <w:sdtContent>
      <w:sdt>
        <w:sdtPr>
          <w:id w:val="98381352"/>
          <w:docPartObj>
            <w:docPartGallery w:val="autotext"/>
          </w:docPartObj>
        </w:sdtPr>
        <w:sdtContent>
          <w:p>
            <w:pPr>
              <w:pStyle w:val="3"/>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w:t>
            </w:r>
            <w:r>
              <w:rPr>
                <w:b/>
                <w:sz w:val="24"/>
                <w:szCs w:val="24"/>
              </w:rPr>
              <w:fldChar w:fldCharType="end"/>
            </w:r>
          </w:p>
        </w:sdtContent>
      </w:sdt>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48FE"/>
    <w:rsid w:val="000247F2"/>
    <w:rsid w:val="000701A1"/>
    <w:rsid w:val="00091DB7"/>
    <w:rsid w:val="000A223A"/>
    <w:rsid w:val="00126911"/>
    <w:rsid w:val="00135553"/>
    <w:rsid w:val="00137F2B"/>
    <w:rsid w:val="0015283D"/>
    <w:rsid w:val="001A2EA8"/>
    <w:rsid w:val="001E7D0E"/>
    <w:rsid w:val="0023457E"/>
    <w:rsid w:val="002367AA"/>
    <w:rsid w:val="00265803"/>
    <w:rsid w:val="00294978"/>
    <w:rsid w:val="00300329"/>
    <w:rsid w:val="00313284"/>
    <w:rsid w:val="003261D9"/>
    <w:rsid w:val="00371D77"/>
    <w:rsid w:val="003B5B94"/>
    <w:rsid w:val="003C5697"/>
    <w:rsid w:val="003F1E2C"/>
    <w:rsid w:val="004279D6"/>
    <w:rsid w:val="00486CE7"/>
    <w:rsid w:val="004C4511"/>
    <w:rsid w:val="005052DE"/>
    <w:rsid w:val="00522271"/>
    <w:rsid w:val="00583294"/>
    <w:rsid w:val="005C44E3"/>
    <w:rsid w:val="005F6DE8"/>
    <w:rsid w:val="00656147"/>
    <w:rsid w:val="00664F7F"/>
    <w:rsid w:val="006C5C13"/>
    <w:rsid w:val="006E58A1"/>
    <w:rsid w:val="007677DC"/>
    <w:rsid w:val="00795523"/>
    <w:rsid w:val="007D6223"/>
    <w:rsid w:val="008208AF"/>
    <w:rsid w:val="00820C05"/>
    <w:rsid w:val="008325B2"/>
    <w:rsid w:val="00835091"/>
    <w:rsid w:val="00850184"/>
    <w:rsid w:val="00853487"/>
    <w:rsid w:val="0087732A"/>
    <w:rsid w:val="008A3213"/>
    <w:rsid w:val="008C6408"/>
    <w:rsid w:val="008D1CD3"/>
    <w:rsid w:val="00913538"/>
    <w:rsid w:val="00923B27"/>
    <w:rsid w:val="00955A2D"/>
    <w:rsid w:val="00973E67"/>
    <w:rsid w:val="00984F74"/>
    <w:rsid w:val="00997F90"/>
    <w:rsid w:val="00A0134E"/>
    <w:rsid w:val="00AE48FE"/>
    <w:rsid w:val="00B17518"/>
    <w:rsid w:val="00B50E55"/>
    <w:rsid w:val="00B518F2"/>
    <w:rsid w:val="00B702F0"/>
    <w:rsid w:val="00C01344"/>
    <w:rsid w:val="00C03A25"/>
    <w:rsid w:val="00C14937"/>
    <w:rsid w:val="00C45E9C"/>
    <w:rsid w:val="00C56D91"/>
    <w:rsid w:val="00C72D5A"/>
    <w:rsid w:val="00C93377"/>
    <w:rsid w:val="00C979D0"/>
    <w:rsid w:val="00CF6B3E"/>
    <w:rsid w:val="00D11ED1"/>
    <w:rsid w:val="00D20F47"/>
    <w:rsid w:val="00D9123D"/>
    <w:rsid w:val="00DE6943"/>
    <w:rsid w:val="00DF6066"/>
    <w:rsid w:val="00E04836"/>
    <w:rsid w:val="00E71FB2"/>
    <w:rsid w:val="00E945AA"/>
    <w:rsid w:val="00F7098E"/>
    <w:rsid w:val="00F837B7"/>
    <w:rsid w:val="00FA7075"/>
    <w:rsid w:val="1D5E45AA"/>
    <w:rsid w:val="453E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 w:type="paragraph" w:customStyle="1" w:styleId="12">
    <w:name w:val="p16"/>
    <w:basedOn w:val="1"/>
    <w:uiPriority w:val="0"/>
    <w:pPr>
      <w:widowControl/>
      <w:ind w:firstLine="420"/>
    </w:pPr>
    <w:rPr>
      <w:rFonts w:ascii="Times New Roman" w:hAnsi="Times New Roman" w:eastAsia="宋体" w:cs="Times New Roman"/>
      <w:kern w:val="0"/>
      <w:szCs w:val="21"/>
    </w:rPr>
  </w:style>
  <w:style w:type="character" w:customStyle="1" w:styleId="13">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1</Pages>
  <Words>802</Words>
  <Characters>4573</Characters>
  <Lines>38</Lines>
  <Paragraphs>10</Paragraphs>
  <ScaleCrop>false</ScaleCrop>
  <LinksUpToDate>false</LinksUpToDate>
  <CharactersWithSpaces>5365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2017-12-13T11:12:00Z</dcterms:created>
  <dc:creator>Chinese User</dc:creator>
  <cp:lastModifiedBy>Amazing华</cp:lastModifiedBy>
  <cp:lastPrinted>2017-12-14T00:36:00Z</cp:lastPrinted>
  <dcterms:modified xsi:type="dcterms:W3CDTF">2017-12-21T01:23:34Z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