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仿宋_GB2312" w:hAnsi="宋体" w:eastAsia="仿宋_GB2312"/>
          <w:b/>
          <w:sz w:val="32"/>
          <w:szCs w:val="32"/>
        </w:rPr>
      </w:pPr>
      <w:r>
        <w:rPr>
          <w:rFonts w:hint="eastAsia" w:ascii="仿宋_GB2312" w:hAnsi="宋体" w:eastAsia="仿宋_GB2312"/>
          <w:b/>
          <w:sz w:val="32"/>
          <w:szCs w:val="32"/>
        </w:rPr>
        <w:t>在食品安全方面，我们尽职责让百姓放心—</w:t>
      </w:r>
      <w:r>
        <w:rPr>
          <w:rFonts w:hint="eastAsia" w:ascii="仿宋_GB2312" w:hAnsi="宋体" w:eastAsia="仿宋_GB2312" w:cs="宋体"/>
          <w:b/>
          <w:kern w:val="0"/>
          <w:sz w:val="32"/>
          <w:szCs w:val="32"/>
        </w:rPr>
        <w:t>我市严把食用农产品市场准入关</w:t>
      </w:r>
    </w:p>
    <w:p>
      <w:pPr>
        <w:rPr>
          <w:rFonts w:ascii="仿宋_GB2312" w:hAnsi="宋体" w:eastAsia="仿宋_GB2312" w:cs="宋体"/>
          <w:kern w:val="0"/>
          <w:sz w:val="32"/>
          <w:szCs w:val="32"/>
        </w:rPr>
      </w:pPr>
      <w:r>
        <w:rPr>
          <w:rFonts w:hint="eastAsia" w:ascii="仿宋_GB2312" w:hAnsi="宋体" w:eastAsia="仿宋_GB2312"/>
          <w:b/>
          <w:sz w:val="32"/>
          <w:szCs w:val="32"/>
        </w:rPr>
        <w:t xml:space="preserve">    </w:t>
      </w:r>
      <w:r>
        <w:rPr>
          <w:rFonts w:hint="eastAsia" w:ascii="仿宋_GB2312" w:hAnsi="宋体" w:eastAsia="仿宋_GB2312" w:cs="宋体"/>
          <w:kern w:val="0"/>
          <w:sz w:val="32"/>
          <w:szCs w:val="32"/>
        </w:rPr>
        <w:t>文字：近年来，我市严把食用农产品市场准入关，通过执法人员直接或委托第三方检验机构的形式，对全市食用农产品批发、零售市场经营的蔬菜和水产品开展每周快筛快检工作。对发现的疑似不合格产品，督促相关经营者即时下架，监督销毁处理。同时</w:t>
      </w:r>
      <w:r>
        <w:rPr>
          <w:rFonts w:hint="eastAsia" w:ascii="仿宋_GB2312" w:hAnsi="宋体" w:eastAsia="仿宋_GB2312" w:cs="宋体"/>
          <w:color w:val="000000"/>
          <w:kern w:val="0"/>
          <w:sz w:val="32"/>
          <w:szCs w:val="32"/>
        </w:rPr>
        <w:t>不定期到农贸市场开展免费为群众检测食用农产品活动，</w:t>
      </w:r>
      <w:r>
        <w:rPr>
          <w:rFonts w:hint="eastAsia" w:ascii="仿宋_GB2312" w:hAnsi="宋体" w:eastAsia="仿宋_GB2312" w:cs="宋体"/>
          <w:kern w:val="0"/>
          <w:sz w:val="32"/>
          <w:szCs w:val="32"/>
        </w:rPr>
        <w:t>检测的项目包括：农药残留中的有机磷及氨基甲酸酯类、拟除虫菊酯等，水产品中的孔雀石绿、氯霉素、磺胺、喹诺酮、工业用甲醛等，畜肉中使用的莱克多巴胺、沙丁胺醇、盐酸克伦特罗磺胺等药物，食用油中的黄曲霉素</w:t>
      </w:r>
      <w:r>
        <w:rPr>
          <w:rFonts w:ascii="仿宋_GB2312" w:hAnsi="宋体" w:eastAsia="仿宋_GB2312" w:cs="宋体"/>
          <w:kern w:val="0"/>
          <w:sz w:val="32"/>
          <w:szCs w:val="32"/>
        </w:rPr>
        <w:t>B1、过氧化值、酸价等，腐竹和面粉中使用吊白块，肉制品中的亚硝酸盐等</w:t>
      </w:r>
      <w:r>
        <w:rPr>
          <w:rFonts w:hint="eastAsia" w:ascii="仿宋_GB2312" w:hAnsi="宋体" w:eastAsia="仿宋_GB2312" w:cs="宋体"/>
          <w:kern w:val="0"/>
          <w:sz w:val="32"/>
          <w:szCs w:val="32"/>
        </w:rPr>
        <w:t>多个项目。</w:t>
      </w:r>
    </w:p>
    <w:p>
      <w:pPr>
        <w:ind w:firstLine="640" w:firstLineChars="200"/>
        <w:rPr>
          <w:rFonts w:ascii="仿宋_GB2312" w:hAnsi="宋体" w:eastAsia="仿宋_GB2312"/>
          <w:sz w:val="32"/>
          <w:szCs w:val="32"/>
        </w:rPr>
      </w:pPr>
      <w:r>
        <w:rPr>
          <w:rFonts w:ascii="仿宋_GB2312" w:hAnsi="宋体" w:eastAsia="仿宋_GB2312"/>
          <w:sz w:val="32"/>
          <w:szCs w:val="32"/>
        </w:rPr>
        <w:t>2.图片：</w:t>
      </w:r>
    </w:p>
    <w:p>
      <w:pPr>
        <w:jc w:val="center"/>
        <w:rPr>
          <w:rFonts w:ascii="仿宋_GB2312" w:hAnsi="宋体" w:eastAsia="仿宋_GB2312"/>
          <w:sz w:val="32"/>
          <w:szCs w:val="32"/>
        </w:rPr>
      </w:pPr>
      <w:r>
        <w:rPr>
          <w:rFonts w:hint="eastAsia" w:ascii="仿宋_GB2312" w:hAnsi="宋体" w:eastAsia="仿宋_GB2312"/>
          <w:color w:val="000000"/>
          <w:sz w:val="32"/>
          <w:szCs w:val="32"/>
        </w:rPr>
        <w:t>快速检测车到各农贸市场为市民提供农产品免费检测</w:t>
      </w:r>
    </w:p>
    <w:p>
      <w:pPr>
        <w:jc w:val="center"/>
        <w:rPr>
          <w:rFonts w:ascii="仿宋_GB2312" w:hAnsi="宋体" w:eastAsia="仿宋_GB2312"/>
          <w:color w:val="000000"/>
          <w:sz w:val="32"/>
          <w:szCs w:val="32"/>
        </w:rPr>
      </w:pPr>
      <w:r>
        <w:rPr>
          <w:rFonts w:ascii="仿宋_GB2312" w:hAnsi="宋体" w:eastAsia="仿宋_GB2312"/>
          <w:color w:val="000000"/>
          <w:sz w:val="32"/>
          <w:szCs w:val="32"/>
        </w:rPr>
        <w:drawing>
          <wp:inline distT="0" distB="0" distL="0" distR="0">
            <wp:extent cx="2830830" cy="1779270"/>
            <wp:effectExtent l="0" t="0" r="762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_GB2312" w:hAnsi="宋体" w:eastAsia="仿宋_GB2312"/>
          <w:sz w:val="32"/>
          <w:szCs w:val="32"/>
        </w:rPr>
      </w:pPr>
      <w:r>
        <w:rPr>
          <w:rFonts w:ascii="仿宋_GB2312" w:hAnsi="宋体" w:eastAsia="仿宋_GB2312"/>
          <w:color w:val="000000"/>
          <w:sz w:val="32"/>
          <w:szCs w:val="32"/>
        </w:rPr>
        <w:t xml:space="preserve">         </w:t>
      </w:r>
      <w:r>
        <w:rPr>
          <w:rFonts w:hint="eastAsia" w:ascii="仿宋_GB2312" w:hAnsi="宋体" w:eastAsia="仿宋_GB2312"/>
          <w:sz w:val="32"/>
          <w:szCs w:val="32"/>
        </w:rPr>
        <w:t>农贸市场每天公示食用农产品检测结果</w:t>
      </w:r>
    </w:p>
    <w:p>
      <w:pPr>
        <w:jc w:val="center"/>
        <w:rPr>
          <w:rFonts w:ascii="仿宋_GB2312" w:hAnsi="宋体" w:eastAsia="仿宋_GB2312"/>
          <w:color w:val="000000"/>
          <w:sz w:val="32"/>
          <w:szCs w:val="32"/>
        </w:rPr>
      </w:pPr>
      <w:r>
        <w:rPr>
          <w:rFonts w:ascii="仿宋_GB2312" w:hAnsi="宋体" w:eastAsia="仿宋_GB2312"/>
          <w:color w:val="000000"/>
          <w:sz w:val="32"/>
          <w:szCs w:val="32"/>
        </w:rPr>
        <w:drawing>
          <wp:inline distT="0" distB="0" distL="0" distR="0">
            <wp:extent cx="2830195" cy="2178685"/>
            <wp:effectExtent l="0" t="0" r="825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_GB2312" w:hAnsi="宋体" w:eastAsia="仿宋_GB2312"/>
          <w:sz w:val="32"/>
          <w:szCs w:val="32"/>
        </w:rPr>
      </w:pPr>
      <w:r>
        <w:rPr>
          <w:rFonts w:ascii="仿宋_GB2312" w:hAnsi="宋体" w:eastAsia="仿宋_GB2312"/>
          <w:b/>
          <w:sz w:val="32"/>
          <w:szCs w:val="32"/>
        </w:rPr>
        <w:t xml:space="preserve">   </w:t>
      </w:r>
      <w:r>
        <w:rPr>
          <w:rFonts w:hint="eastAsia" w:ascii="仿宋_GB2312" w:hAnsi="宋体" w:eastAsia="仿宋_GB2312"/>
          <w:b/>
          <w:sz w:val="32"/>
          <w:szCs w:val="32"/>
        </w:rPr>
        <w:t>文字：</w:t>
      </w:r>
      <w:r>
        <w:rPr>
          <w:rFonts w:hint="eastAsia" w:ascii="仿宋_GB2312" w:hAnsi="宋体" w:eastAsia="仿宋_GB2312"/>
          <w:sz w:val="32"/>
          <w:szCs w:val="32"/>
        </w:rPr>
        <w:t>推进</w:t>
      </w:r>
      <w:r>
        <w:rPr>
          <w:rFonts w:ascii="仿宋_GB2312" w:hAnsi="宋体" w:eastAsia="仿宋_GB2312"/>
          <w:sz w:val="32"/>
          <w:szCs w:val="32"/>
        </w:rPr>
        <w:t xml:space="preserve"> </w:t>
      </w:r>
      <w:r>
        <w:rPr>
          <w:rFonts w:hint="eastAsia" w:ascii="仿宋_GB2312" w:hAnsi="宋体" w:eastAsia="仿宋_GB2312"/>
          <w:sz w:val="32"/>
          <w:szCs w:val="32"/>
        </w:rPr>
        <w:t>“明厨亮灶”与“江门市食品安全中央监控系统”建设</w:t>
      </w:r>
    </w:p>
    <w:p>
      <w:pPr>
        <w:ind w:firstLine="707" w:firstLineChars="221"/>
        <w:rPr>
          <w:rFonts w:ascii="仿宋_GB2312" w:hAnsi="宋体" w:eastAsia="仿宋_GB2312"/>
          <w:sz w:val="32"/>
          <w:szCs w:val="32"/>
        </w:rPr>
      </w:pPr>
      <w:r>
        <w:rPr>
          <w:rFonts w:hint="eastAsia" w:ascii="仿宋_GB2312" w:hAnsi="宋体" w:eastAsia="仿宋_GB2312"/>
          <w:sz w:val="32"/>
          <w:szCs w:val="32"/>
        </w:rPr>
        <w:t>“进</w:t>
      </w:r>
      <w:r>
        <w:rPr>
          <w:rFonts w:ascii="仿宋_GB2312" w:hAnsi="宋体" w:eastAsia="仿宋_GB2312"/>
          <w:sz w:val="32"/>
          <w:szCs w:val="32"/>
        </w:rPr>
        <w:t xml:space="preserve"> </w:t>
      </w:r>
      <w:r>
        <w:rPr>
          <w:rFonts w:hint="eastAsia" w:ascii="仿宋_GB2312" w:hAnsi="宋体" w:eastAsia="仿宋_GB2312"/>
          <w:sz w:val="32"/>
          <w:szCs w:val="32"/>
        </w:rPr>
        <w:t>“明厨亮灶”与“江门市食品安全中央监控系统”建设黄曲霉素</w:t>
      </w:r>
      <w:r>
        <w:rPr>
          <w:rFonts w:ascii="仿宋_GB2312" w:hAnsi="宋体" w:eastAsia="仿宋_GB2312"/>
          <w:sz w:val="32"/>
          <w:szCs w:val="32"/>
        </w:rPr>
        <w:t>B1、过氧化值、酸价等，腐竹和面粉中使用吊白块，肉制品中的亚硝酸盐等的</w:t>
      </w:r>
      <w:r>
        <w:rPr>
          <w:rFonts w:hint="eastAsia" w:ascii="仿宋_GB2312" w:hAnsi="宋体" w:eastAsia="仿宋_GB2312"/>
          <w:sz w:val="32"/>
          <w:szCs w:val="32"/>
        </w:rPr>
        <w:t>莱克多巴胺、沙丁胺醇、盐酸克伦特罗磺胺等药物，食用油中的黄曲霉素否则一旦发生纠纷，自己。我市今年继续推进餐饮服务单位实施“明厨亮灶”工作。通过“明厨亮灶”建设促使我市餐饮服务行业食品安全管理水平上了新台阶，逐步构建了企业自律、政府监管、公众参与的餐饮服务食品安全社会共治格局</w:t>
      </w:r>
    </w:p>
    <w:p>
      <w:pPr>
        <w:ind w:firstLine="800" w:firstLineChars="250"/>
        <w:rPr>
          <w:rFonts w:ascii="仿宋_GB2312" w:hAnsi="宋体" w:eastAsia="仿宋_GB2312"/>
          <w:sz w:val="32"/>
          <w:szCs w:val="32"/>
        </w:rPr>
      </w:pPr>
      <w:r>
        <w:rPr>
          <w:rFonts w:hint="eastAsia" w:ascii="仿宋_GB2312" w:hAnsi="宋体" w:eastAsia="仿宋_GB2312"/>
          <w:sz w:val="32"/>
          <w:szCs w:val="32"/>
        </w:rPr>
        <w:t>图片：餐饮监控式明厨亮灶</w:t>
      </w:r>
    </w:p>
    <w:p>
      <w:pPr>
        <w:jc w:val="center"/>
        <w:rPr>
          <w:rFonts w:ascii="仿宋_GB2312" w:hAnsi="宋体" w:eastAsia="仿宋_GB2312"/>
          <w:sz w:val="32"/>
          <w:szCs w:val="32"/>
        </w:rPr>
      </w:pPr>
      <w:r>
        <w:rPr>
          <w:rFonts w:ascii="仿宋_GB2312" w:hAnsi="宋体" w:eastAsia="仿宋_GB2312"/>
          <w:sz w:val="32"/>
          <w:szCs w:val="32"/>
        </w:rPr>
        <w:drawing>
          <wp:inline distT="0" distB="0" distL="0" distR="0">
            <wp:extent cx="2801620" cy="1755140"/>
            <wp:effectExtent l="0" t="0" r="1778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_GB2312" w:hAnsi="宋体" w:eastAsia="仿宋_GB2312"/>
          <w:sz w:val="32"/>
          <w:szCs w:val="32"/>
        </w:rPr>
      </w:pPr>
      <w:r>
        <w:rPr>
          <w:rFonts w:hint="eastAsia" w:ascii="仿宋_GB2312" w:hAnsi="宋体" w:eastAsia="仿宋_GB2312"/>
          <w:sz w:val="32"/>
          <w:szCs w:val="32"/>
        </w:rPr>
        <w:t>查看接入中央监控系统的学校食堂</w:t>
      </w:r>
    </w:p>
    <w:p>
      <w:pPr>
        <w:jc w:val="center"/>
        <w:rPr>
          <w:rFonts w:ascii="仿宋_GB2312" w:hAnsi="宋体" w:eastAsia="仿宋_GB2312"/>
          <w:sz w:val="32"/>
          <w:szCs w:val="32"/>
        </w:rPr>
      </w:pPr>
      <w:r>
        <w:rPr>
          <w:rFonts w:ascii="仿宋_GB2312" w:hAnsi="宋体" w:eastAsia="仿宋_GB2312"/>
          <w:sz w:val="32"/>
          <w:szCs w:val="32"/>
        </w:rPr>
        <w:drawing>
          <wp:inline distT="0" distB="0" distL="0" distR="0">
            <wp:extent cx="2763520" cy="1661160"/>
            <wp:effectExtent l="0" t="0" r="1778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仿宋_GB2312" w:hAnsi="宋体" w:eastAsia="仿宋_GB2312"/>
          <w:sz w:val="32"/>
          <w:szCs w:val="32"/>
        </w:rPr>
      </w:pPr>
      <w:r>
        <w:rPr>
          <w:rFonts w:ascii="仿宋_GB2312" w:hAnsi="宋体" w:eastAsia="仿宋_GB2312"/>
          <w:b/>
          <w:sz w:val="32"/>
          <w:szCs w:val="32"/>
        </w:rPr>
        <w:t xml:space="preserve">  </w:t>
      </w:r>
      <w:r>
        <w:rPr>
          <w:rFonts w:ascii="仿宋_GB2312" w:hAnsi="宋体" w:eastAsia="仿宋_GB2312"/>
          <w:sz w:val="32"/>
          <w:szCs w:val="32"/>
        </w:rPr>
        <w:t xml:space="preserve">  </w:t>
      </w:r>
      <w:r>
        <w:rPr>
          <w:rFonts w:hint="eastAsia" w:ascii="仿宋_GB2312" w:hAnsi="宋体" w:eastAsia="仿宋_GB2312"/>
          <w:sz w:val="32"/>
          <w:szCs w:val="32"/>
        </w:rPr>
        <w:t>文字：</w:t>
      </w:r>
      <w:r>
        <w:rPr>
          <w:rFonts w:hint="eastAsia" w:ascii="仿宋_GB2312" w:hAnsi="宋体" w:eastAsia="仿宋_GB2312"/>
          <w:b/>
          <w:sz w:val="32"/>
          <w:szCs w:val="32"/>
        </w:rPr>
        <w:t>我市全面推进</w:t>
      </w:r>
      <w:r>
        <w:rPr>
          <w:rFonts w:ascii="仿宋_GB2312" w:hAnsi="宋体" w:eastAsia="仿宋_GB2312"/>
          <w:b/>
          <w:sz w:val="32"/>
          <w:szCs w:val="32"/>
        </w:rPr>
        <w:t xml:space="preserve"> </w:t>
      </w:r>
      <w:r>
        <w:rPr>
          <w:rFonts w:hint="eastAsia" w:ascii="仿宋_GB2312" w:hAnsi="宋体" w:eastAsia="仿宋_GB2312"/>
          <w:b/>
          <w:sz w:val="32"/>
          <w:szCs w:val="32"/>
        </w:rPr>
        <w:t>“放心肉菜示范超市”</w:t>
      </w:r>
      <w:r>
        <w:rPr>
          <w:rFonts w:ascii="仿宋_GB2312" w:hAnsi="宋体" w:eastAsia="仿宋_GB2312"/>
          <w:b/>
          <w:sz w:val="32"/>
          <w:szCs w:val="32"/>
        </w:rPr>
        <w:t xml:space="preserve"> </w:t>
      </w:r>
      <w:r>
        <w:rPr>
          <w:rFonts w:hint="eastAsia" w:ascii="仿宋_GB2312" w:hAnsi="宋体" w:eastAsia="仿宋_GB2312"/>
          <w:b/>
          <w:sz w:val="32"/>
          <w:szCs w:val="32"/>
        </w:rPr>
        <w:t>创建活动</w:t>
      </w:r>
    </w:p>
    <w:p>
      <w:pPr>
        <w:ind w:firstLine="640" w:firstLineChars="200"/>
        <w:rPr>
          <w:rFonts w:ascii="仿宋_GB2312" w:hAnsi="宋体" w:eastAsia="仿宋_GB2312"/>
          <w:sz w:val="32"/>
          <w:szCs w:val="32"/>
        </w:rPr>
      </w:pPr>
      <w:r>
        <w:rPr>
          <w:rFonts w:hint="eastAsia" w:ascii="仿宋_GB2312" w:hAnsi="宋体" w:eastAsia="仿宋_GB2312"/>
          <w:sz w:val="32"/>
          <w:szCs w:val="32"/>
        </w:rPr>
        <w:t>自今年</w:t>
      </w:r>
      <w:r>
        <w:rPr>
          <w:rFonts w:ascii="仿宋_GB2312" w:hAnsi="宋体" w:eastAsia="仿宋_GB2312"/>
          <w:sz w:val="32"/>
          <w:szCs w:val="32"/>
        </w:rPr>
        <w:t>6月开始，在蓬江区、江海区、新会区三区进行</w:t>
      </w:r>
      <w:r>
        <w:rPr>
          <w:rFonts w:hint="eastAsia" w:ascii="仿宋_GB2312" w:hAnsi="宋体" w:eastAsia="仿宋_GB2312"/>
          <w:sz w:val="32"/>
          <w:szCs w:val="32"/>
        </w:rPr>
        <w:t>先行试点开展“放心肉菜示范超市”创建活动。创建活动主要突出落实商超食品安全主体责任</w:t>
      </w:r>
      <w:r>
        <w:rPr>
          <w:rFonts w:ascii="仿宋_GB2312" w:hAnsi="宋体" w:eastAsia="仿宋_GB2312"/>
          <w:sz w:val="32"/>
          <w:szCs w:val="32"/>
        </w:rPr>
        <w:t>,督促其建立健全肉类、蔬菜、蛋类、水产品、水果等食用农产品质量安全管理制度,从管理机构、管理制度、设施设备、源头管控、进货查验、销售过程等方面把关,保证肉、菜质量安全。大力</w:t>
      </w:r>
      <w:r>
        <w:rPr>
          <w:rFonts w:hint="eastAsia" w:ascii="仿宋_GB2312" w:hAnsi="宋体" w:eastAsia="仿宋_GB2312"/>
          <w:sz w:val="32"/>
          <w:szCs w:val="32"/>
        </w:rPr>
        <w:t>推进商超与场厂、场地挂钩</w:t>
      </w:r>
      <w:r>
        <w:rPr>
          <w:rFonts w:ascii="仿宋_GB2312" w:hAnsi="宋体" w:eastAsia="仿宋_GB2312"/>
          <w:sz w:val="32"/>
          <w:szCs w:val="32"/>
        </w:rPr>
        <w:t>,严格落实市场准入、快检托管、产品质量信息公示等制度,建立完善肉菜追溯体系,引导全市大中型商</w:t>
      </w:r>
      <w:r>
        <w:rPr>
          <w:rFonts w:hint="eastAsia" w:ascii="仿宋_GB2312" w:hAnsi="宋体" w:eastAsia="仿宋_GB2312"/>
          <w:sz w:val="32"/>
          <w:szCs w:val="32"/>
        </w:rPr>
        <w:t>超建立来源信息可溯、质量安全可靠、群众放心消费的现代“肉、菜”流通与消费格局。</w:t>
      </w:r>
      <w:r>
        <w:rPr>
          <w:rFonts w:ascii="仿宋_GB2312" w:hAnsi="宋体" w:eastAsia="仿宋_GB2312"/>
          <w:sz w:val="32"/>
          <w:szCs w:val="32"/>
        </w:rPr>
        <w:t> </w:t>
      </w:r>
    </w:p>
    <w:p>
      <w:pPr>
        <w:ind w:firstLine="640" w:firstLineChars="200"/>
        <w:rPr>
          <w:rFonts w:ascii="仿宋_GB2312" w:hAnsi="宋体" w:eastAsia="仿宋_GB2312"/>
          <w:sz w:val="32"/>
          <w:szCs w:val="32"/>
        </w:rPr>
      </w:pPr>
      <w:r>
        <w:rPr>
          <w:rFonts w:hint="eastAsia" w:ascii="仿宋_GB2312" w:hAnsi="宋体" w:eastAsia="仿宋_GB2312"/>
          <w:sz w:val="32"/>
          <w:szCs w:val="32"/>
        </w:rPr>
        <w:t>图片：抽检“放心肉菜超市”农产品</w:t>
      </w:r>
    </w:p>
    <w:p>
      <w:pPr>
        <w:jc w:val="center"/>
        <w:rPr>
          <w:rFonts w:ascii="仿宋_GB2312" w:hAnsi="宋体" w:eastAsia="仿宋_GB2312"/>
          <w:sz w:val="32"/>
          <w:szCs w:val="32"/>
        </w:rPr>
      </w:pPr>
      <w:r>
        <w:rPr>
          <w:rFonts w:ascii="仿宋_GB2312" w:hAnsi="宋体" w:eastAsia="仿宋_GB2312"/>
          <w:sz w:val="32"/>
          <w:szCs w:val="32"/>
        </w:rPr>
        <w:drawing>
          <wp:inline distT="0" distB="0" distL="0" distR="0">
            <wp:extent cx="2590800" cy="1933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_GB2312" w:hAnsi="宋体" w:eastAsia="仿宋_GB2312"/>
          <w:sz w:val="32"/>
          <w:szCs w:val="32"/>
        </w:rPr>
      </w:pPr>
      <w:r>
        <w:rPr>
          <w:rFonts w:ascii="仿宋_GB2312" w:hAnsi="宋体" w:eastAsia="仿宋_GB2312"/>
          <w:sz w:val="32"/>
          <w:szCs w:val="32"/>
        </w:rPr>
        <w:drawing>
          <wp:inline distT="0" distB="0" distL="0" distR="0">
            <wp:extent cx="2656840" cy="22663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_GB2312" w:hAnsi="宋体" w:eastAsia="仿宋_GB2312"/>
          <w:sz w:val="32"/>
          <w:szCs w:val="32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509"/>
    <w:rsid w:val="00004BE5"/>
    <w:rsid w:val="000209F4"/>
    <w:rsid w:val="0002272C"/>
    <w:rsid w:val="000378C5"/>
    <w:rsid w:val="00050161"/>
    <w:rsid w:val="0009589A"/>
    <w:rsid w:val="00097F18"/>
    <w:rsid w:val="000A0B3D"/>
    <w:rsid w:val="000D3912"/>
    <w:rsid w:val="000E304F"/>
    <w:rsid w:val="00164932"/>
    <w:rsid w:val="00182054"/>
    <w:rsid w:val="0019424D"/>
    <w:rsid w:val="001A5320"/>
    <w:rsid w:val="001C5043"/>
    <w:rsid w:val="001E1489"/>
    <w:rsid w:val="001F3AB5"/>
    <w:rsid w:val="002C43EE"/>
    <w:rsid w:val="002E5B79"/>
    <w:rsid w:val="003142BC"/>
    <w:rsid w:val="003E4B82"/>
    <w:rsid w:val="003E6F5B"/>
    <w:rsid w:val="00401D9E"/>
    <w:rsid w:val="004344A9"/>
    <w:rsid w:val="004723E8"/>
    <w:rsid w:val="00474FE4"/>
    <w:rsid w:val="00481532"/>
    <w:rsid w:val="00491F27"/>
    <w:rsid w:val="004C6657"/>
    <w:rsid w:val="004D7945"/>
    <w:rsid w:val="004F17E2"/>
    <w:rsid w:val="005B5E2B"/>
    <w:rsid w:val="005C7A37"/>
    <w:rsid w:val="005E51B0"/>
    <w:rsid w:val="005F0465"/>
    <w:rsid w:val="006171B1"/>
    <w:rsid w:val="00623DE6"/>
    <w:rsid w:val="0063516B"/>
    <w:rsid w:val="00687E39"/>
    <w:rsid w:val="006A49E9"/>
    <w:rsid w:val="006A6615"/>
    <w:rsid w:val="006B1F69"/>
    <w:rsid w:val="006E238C"/>
    <w:rsid w:val="006F2344"/>
    <w:rsid w:val="00766A57"/>
    <w:rsid w:val="007A6A7F"/>
    <w:rsid w:val="007E007E"/>
    <w:rsid w:val="008254EC"/>
    <w:rsid w:val="0083720E"/>
    <w:rsid w:val="00855F2C"/>
    <w:rsid w:val="00885A15"/>
    <w:rsid w:val="008861B4"/>
    <w:rsid w:val="008A20B4"/>
    <w:rsid w:val="008B439E"/>
    <w:rsid w:val="008C25C6"/>
    <w:rsid w:val="008C35BB"/>
    <w:rsid w:val="008D6AE0"/>
    <w:rsid w:val="008E6F8C"/>
    <w:rsid w:val="008F1677"/>
    <w:rsid w:val="008F78BE"/>
    <w:rsid w:val="009103EC"/>
    <w:rsid w:val="00934795"/>
    <w:rsid w:val="00935454"/>
    <w:rsid w:val="00964568"/>
    <w:rsid w:val="00994C30"/>
    <w:rsid w:val="009D4CBC"/>
    <w:rsid w:val="009D776B"/>
    <w:rsid w:val="009E2808"/>
    <w:rsid w:val="009E3F3F"/>
    <w:rsid w:val="00A17DD6"/>
    <w:rsid w:val="00A2546B"/>
    <w:rsid w:val="00A63E4B"/>
    <w:rsid w:val="00A81733"/>
    <w:rsid w:val="00AB4750"/>
    <w:rsid w:val="00AE1BD4"/>
    <w:rsid w:val="00B16E4A"/>
    <w:rsid w:val="00B659A0"/>
    <w:rsid w:val="00B930B7"/>
    <w:rsid w:val="00B953BC"/>
    <w:rsid w:val="00BA4ED7"/>
    <w:rsid w:val="00BB1379"/>
    <w:rsid w:val="00BB76C3"/>
    <w:rsid w:val="00BD022F"/>
    <w:rsid w:val="00BF74D0"/>
    <w:rsid w:val="00C22840"/>
    <w:rsid w:val="00C47F42"/>
    <w:rsid w:val="00C50BCB"/>
    <w:rsid w:val="00C77D9E"/>
    <w:rsid w:val="00CB7936"/>
    <w:rsid w:val="00CC34C9"/>
    <w:rsid w:val="00CC7B86"/>
    <w:rsid w:val="00CD5370"/>
    <w:rsid w:val="00D03DA7"/>
    <w:rsid w:val="00D12244"/>
    <w:rsid w:val="00D3778E"/>
    <w:rsid w:val="00D41949"/>
    <w:rsid w:val="00D45B70"/>
    <w:rsid w:val="00D5558A"/>
    <w:rsid w:val="00D558E7"/>
    <w:rsid w:val="00D63FB2"/>
    <w:rsid w:val="00DB43E5"/>
    <w:rsid w:val="00DF0BD9"/>
    <w:rsid w:val="00E203FD"/>
    <w:rsid w:val="00E512B0"/>
    <w:rsid w:val="00E56B62"/>
    <w:rsid w:val="00E708EC"/>
    <w:rsid w:val="00E74571"/>
    <w:rsid w:val="00EF5962"/>
    <w:rsid w:val="00EF6A8D"/>
    <w:rsid w:val="00F05B4E"/>
    <w:rsid w:val="00F35A66"/>
    <w:rsid w:val="00F42D44"/>
    <w:rsid w:val="00F762C6"/>
    <w:rsid w:val="00F864AB"/>
    <w:rsid w:val="00FA2156"/>
    <w:rsid w:val="00FF3509"/>
    <w:rsid w:val="18063F48"/>
    <w:rsid w:val="1C9A5766"/>
    <w:rsid w:val="1E366761"/>
    <w:rsid w:val="2CEB0F2E"/>
    <w:rsid w:val="3EF76F4B"/>
    <w:rsid w:val="64472901"/>
    <w:rsid w:val="778F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7">
    <w:name w:val="页眉 Char"/>
    <w:basedOn w:val="5"/>
    <w:link w:val="4"/>
    <w:uiPriority w:val="99"/>
    <w:rPr>
      <w:sz w:val="18"/>
      <w:szCs w:val="18"/>
    </w:rPr>
  </w:style>
  <w:style w:type="character" w:customStyle="1" w:styleId="8">
    <w:name w:val="页脚 Char"/>
    <w:basedOn w:val="5"/>
    <w:link w:val="3"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Chinese ORG</Company>
  <Pages>4</Pages>
  <Words>141</Words>
  <Characters>807</Characters>
  <Lines>6</Lines>
  <Paragraphs>1</Paragraphs>
  <ScaleCrop>false</ScaleCrop>
  <LinksUpToDate>false</LinksUpToDate>
  <CharactersWithSpaces>947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2017-12-15T02:41:00Z</dcterms:created>
  <dc:creator>李国雄</dc:creator>
  <cp:lastModifiedBy>Amazing华</cp:lastModifiedBy>
  <dcterms:modified xsi:type="dcterms:W3CDTF">2017-12-21T08:26:58Z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