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hAnsi="Calibri" w:eastAsia="微软雅黑"/>
          <w:b/>
          <w:sz w:val="36"/>
        </w:rPr>
        <w:t>成员分工及主要贡献说明</w:t>
      </w:r>
    </w:p>
    <w:p>
      <w:pPr>
        <w:spacing w:after="200"/>
        <w:jc w:val="center"/>
      </w:pPr>
      <w:r>
        <w:rPr>
          <w:rFonts w:ascii="Calibri" w:hAnsi="Calibri" w:eastAsia="宋体"/>
          <w:b/>
          <w:color w:val="595959"/>
          <w:sz w:val="22"/>
        </w:rPr>
        <w:t>项目：CPN-HRL-DAG——基于深度强化学习的云—边—端异构计算资源管理调度方法</w:t>
      </w:r>
    </w:p>
    <w:p>
      <w:pPr>
        <w:spacing w:line="300" w:lineRule="auto" w:after="80"/>
        <w:ind w:firstLine="420"/>
      </w:pPr>
      <w:r>
        <w:rPr>
          <w:rFonts w:ascii="Calibri" w:hAnsi="Calibri" w:eastAsia="宋体"/>
          <w:b w:val="0"/>
          <w:sz w:val="21"/>
        </w:rPr>
        <w:t>本说明采用 A、B、C 作为参赛成员匿名标识，其中 A 为组长。分工依据项目仓库中的源代码、设计文档、测试用例、实验记录及国产操作系统验收材料归纳；各成员在承担主要模块的同时，共同参与方案讨论、代码评审和最终成果核验。</w:t>
      </w:r>
    </w:p>
    <w:p>
      <w:pPr>
        <w:keepNext/>
        <w:spacing w:before="160" w:after="80"/>
      </w:pPr>
      <w:r>
        <w:rPr>
          <w:rFonts w:ascii="Calibri" w:hAnsi="Calibri" w:eastAsia="微软雅黑"/>
          <w:b/>
          <w:color w:val="1F4E79"/>
          <w:sz w:val="26"/>
        </w:rPr>
        <w:t>一、成员主要分工与实际贡献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82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成员</w:t>
            </w:r>
          </w:p>
        </w:tc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角色定位</w:t>
            </w:r>
          </w:p>
        </w:tc>
        <w:tc>
          <w:tcPr>
            <w:tcW w:type="dxa" w:w="419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主要分工和实际贡献</w:t>
            </w:r>
          </w:p>
        </w:tc>
        <w:tc>
          <w:tcPr>
            <w:tcW w:type="dxa" w:w="331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可核验项目材料</w:t>
            </w:r>
          </w:p>
        </w:tc>
      </w:tr>
      <w:tr>
        <w:trPr>
          <w:cantSplit/>
        </w:trPr>
        <w:tc>
          <w:tcPr>
            <w:tcW w:type="dxa" w:w="8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</w:t>
            </w:r>
            <w:r>
              <w:br/>
            </w:r>
            <w:r>
              <w:rPr>
                <w:rFonts w:ascii="Calibri" w:hAnsi="Calibri" w:eastAsia="微软雅黑"/>
                <w:b/>
                <w:sz w:val="20"/>
              </w:rPr>
              <w:t>（组长）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总体统筹、算法架构与模型训练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69" w:lineRule="auto" w:after="40"/>
              <w:ind w:left="215" w:hanging="142"/>
            </w:pPr>
            <w:r/>
            <w:r>
              <w:rPr>
                <w:rFonts w:ascii="Calibri" w:hAnsi="Calibri" w:eastAsia="宋体"/>
                <w:b w:val="0"/>
                <w:sz w:val="18"/>
              </w:rPr>
              <w:t>• 统筹需求分析、技术路线、任务拆分、实验协议和版本整合，确定统一的数据适配、场景构造、调度模拟、环境交互、策略执行和评测主流程。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负责分层强化学习总体方案：高层 LSTM 选择就绪任务、低层 GAT 选择可行资源节点，以及 HEFT 残差初始化、分阶段 PPO 训练、掩码一致性和检查点选择机制。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组织多种子训练、消融和主模型对比，审核指标口径与成果归因，明确纯 HRL、搜索和混合策略的效果边界。</w:t>
            </w:r>
          </w:p>
        </w:tc>
        <w:tc>
          <w:tcPr>
            <w:tcW w:type="dxa" w:w="33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69" w:lineRule="auto" w:after="40"/>
              <w:ind w:left="215" w:hanging="142"/>
            </w:pPr>
            <w:r/>
            <w:r>
              <w:rPr>
                <w:rFonts w:ascii="Calibri" w:hAnsi="Calibri" w:eastAsia="宋体"/>
                <w:b w:val="0"/>
                <w:sz w:val="17"/>
              </w:rPr>
              <w:t>• 设计：docs/architecture.md、docs/problem_formulation.md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代码：src/cpn_hrl_dag/models/、algorithms/、policies/hrl.py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训练：scripts/train.py、train_main_comparison.py、configs/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结果：docs/results/multiseed_20260925_122243/</w:t>
            </w:r>
          </w:p>
        </w:tc>
      </w:tr>
      <w:tr>
        <w:trPr>
          <w:cantSplit/>
        </w:trPr>
        <w:tc>
          <w:tcPr>
            <w:tcW w:type="dxa" w:w="8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B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数据建模、调度内核与基线搜索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69" w:lineRule="auto" w:after="40"/>
              <w:ind w:left="215" w:hanging="142"/>
            </w:pPr>
            <w:r/>
            <w:r>
              <w:rPr>
                <w:rFonts w:ascii="Calibri" w:hAnsi="Calibri" w:eastAsia="宋体"/>
                <w:b w:val="0"/>
                <w:sz w:val="18"/>
              </w:rPr>
              <w:t>• 负责 GrapheonRL 数据适配、来源审计、固定数据划分和云—边—端资源建模，保证同一基础 DAG 不跨训练、验证和测试集合。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实现并维护执行时间、通信开销、就绪语义、空闲区间插入和时间线等调度模拟逻辑，统一各策略的场景语义和 makespan 计算。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负责 HEFT、PEFT/OCT、CPOP、候选组合、beam 与关键块局部搜索等基线和安全搜索策略，并保留 HEFT 候选作为逐场景兜底。</w:t>
            </w:r>
          </w:p>
        </w:tc>
        <w:tc>
          <w:tcPr>
            <w:tcW w:type="dxa" w:w="33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69" w:lineRule="auto" w:after="40"/>
              <w:ind w:left="215" w:hanging="142"/>
            </w:pPr>
            <w:r/>
            <w:r>
              <w:rPr>
                <w:rFonts w:ascii="Calibri" w:hAnsi="Calibri" w:eastAsia="宋体"/>
                <w:b w:val="0"/>
                <w:sz w:val="17"/>
              </w:rPr>
              <w:t>• 数据：src/cpn_hrl_dag/datasets/、scenario/、docs/dataset_audit.md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内核：src/cpn_hrl_dag/scheduling/、env/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策略：baselines/heft.py、baselines/advanced.py、policies/portfolio.py、hybrid.py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测试：test_simulator.py、test_heft.py、test_advanced_search.py、test_lower_bounds.py</w:t>
            </w:r>
          </w:p>
        </w:tc>
      </w:tr>
      <w:tr>
        <w:trPr>
          <w:cantSplit/>
        </w:trPr>
        <w:tc>
          <w:tcPr>
            <w:tcW w:type="dxa" w:w="82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宋体"/>
                <w:b/>
                <w:sz w:val="19"/>
              </w:rPr>
              <w:t>测试评测、平台适配与复现交付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69" w:lineRule="auto" w:after="40"/>
              <w:ind w:left="215" w:hanging="142"/>
            </w:pPr>
            <w:r/>
            <w:r>
              <w:rPr>
                <w:rFonts w:ascii="Calibri" w:hAnsi="Calibri" w:eastAsia="宋体"/>
                <w:b w:val="0"/>
                <w:sz w:val="18"/>
              </w:rPr>
              <w:t>• 负责统一评测、HEFT 缓存、统计汇总、逐场景结果和图表输出，核对合法调度率、归一化 makespan、推理时间及配置哈希。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建设回归测试与验收脚本，覆盖策略接口、动作掩码、PPO 更新、数据划分、模型加载、报告生成和独立混合策略等关键路径。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完成 openKylin 与 openEuler 虚拟机 CPU 环境部署、依赖验证、训练冒烟、检查点重载和完整验证集评测，并整理可审计材料。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8"/>
              </w:rPr>
              <w:t>• 维护运行说明、复现实验指引和演示入口，检查提交材料中的匿名性、路径与结果一致性。</w:t>
            </w:r>
          </w:p>
        </w:tc>
        <w:tc>
          <w:tcPr>
            <w:tcW w:type="dxa" w:w="33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line="269" w:lineRule="auto" w:after="40"/>
              <w:ind w:left="215" w:hanging="142"/>
            </w:pPr>
            <w:r/>
            <w:r>
              <w:rPr>
                <w:rFonts w:ascii="Calibri" w:hAnsi="Calibri" w:eastAsia="宋体"/>
                <w:b w:val="0"/>
                <w:sz w:val="17"/>
              </w:rPr>
              <w:t>• 评测：src/cpn_hrl_dag/evaluation/、scripts/evaluate*.py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测试：tests/test_policy_interface.py、test_ppo_mask.py、test_reporting.py、test_platform_acceptance.py 等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复现：scripts/verify_platform.py、docs/reproduction.md、README.md</w:t>
            </w:r>
          </w:p>
          <w:p>
            <w:pPr>
              <w:spacing w:line="269" w:lineRule="auto" w:after="40"/>
              <w:ind w:left="215" w:hanging="142"/>
            </w:pPr>
            <w:r>
              <w:rPr>
                <w:rFonts w:ascii="Calibri" w:hAnsi="Calibri" w:eastAsia="宋体"/>
                <w:b w:val="0"/>
                <w:sz w:val="17"/>
              </w:rPr>
              <w:t>• 平台证据：docs/platform/openkylin_vm_20260930/、openeuler_vm_20260930/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color w:val="1F4E79"/>
          <w:sz w:val="26"/>
        </w:rPr>
        <w:t>二、贡献与材料的交叉印证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57"/>
            <w:shd w:fill="E2F0D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项目环节</w:t>
            </w:r>
          </w:p>
        </w:tc>
        <w:tc>
          <w:tcPr>
            <w:tcW w:type="dxa" w:w="1134"/>
            <w:shd w:fill="E2F0D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主要成员</w:t>
            </w:r>
          </w:p>
        </w:tc>
        <w:tc>
          <w:tcPr>
            <w:tcW w:type="dxa" w:w="2268"/>
            <w:shd w:fill="E2F0D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协作成员</w:t>
            </w:r>
          </w:p>
        </w:tc>
        <w:tc>
          <w:tcPr>
            <w:tcW w:type="dxa" w:w="4876"/>
            <w:shd w:fill="E2F0D9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18"/>
              </w:rPr>
              <w:t>对应材料及印证关系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架构与问题建模</w:t>
            </w:r>
          </w:p>
        </w:tc>
        <w:tc>
          <w:tcPr>
            <w:tcW w:type="dxa" w:w="113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A</w:t>
            </w:r>
          </w:p>
        </w:tc>
        <w:tc>
          <w:tcPr>
            <w:tcW w:type="dxa" w:w="22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B、C</w:t>
            </w:r>
          </w:p>
        </w:tc>
        <w:tc>
          <w:tcPr>
            <w:tcW w:type="dxa" w:w="48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设计文档给出统一调度链路、状态动作、约束和目标；模型、策略及训练代码与该设计保持一致。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数据与场景构造</w:t>
            </w:r>
          </w:p>
        </w:tc>
        <w:tc>
          <w:tcPr>
            <w:tcW w:type="dxa" w:w="113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B</w:t>
            </w:r>
          </w:p>
        </w:tc>
        <w:tc>
          <w:tcPr>
            <w:tcW w:type="dxa" w:w="22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A、C</w:t>
            </w:r>
          </w:p>
        </w:tc>
        <w:tc>
          <w:tcPr>
            <w:tcW w:type="dxa" w:w="48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数据适配、来源审计、固定划分和资源实现代码相互对应；数据划分与适配器测试验证无拓扑泄漏。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HRL 训练与模型</w:t>
            </w:r>
          </w:p>
        </w:tc>
        <w:tc>
          <w:tcPr>
            <w:tcW w:type="dxa" w:w="113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A</w:t>
            </w:r>
          </w:p>
        </w:tc>
        <w:tc>
          <w:tcPr>
            <w:tcW w:type="dxa" w:w="22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B、C</w:t>
            </w:r>
          </w:p>
        </w:tc>
        <w:tc>
          <w:tcPr>
            <w:tcW w:type="dxa" w:w="48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LSTM/GAT、PPO、分阶段训练及配置文件形成完整实现；掩码、模式、阶段回归和训练工具测试覆盖关键行为。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HEFT 与安全搜索</w:t>
            </w:r>
          </w:p>
        </w:tc>
        <w:tc>
          <w:tcPr>
            <w:tcW w:type="dxa" w:w="113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B</w:t>
            </w:r>
          </w:p>
        </w:tc>
        <w:tc>
          <w:tcPr>
            <w:tcW w:type="dxa" w:w="22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A、C</w:t>
            </w:r>
          </w:p>
        </w:tc>
        <w:tc>
          <w:tcPr>
            <w:tcW w:type="dxa" w:w="48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HEFT、组合和搜索代码与优化说明一致；模拟器、基线、搜索、下界测试验证合法性、确定性和 HEFT 兜底。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评测与结果归因</w:t>
            </w:r>
          </w:p>
        </w:tc>
        <w:tc>
          <w:tcPr>
            <w:tcW w:type="dxa" w:w="113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C</w:t>
            </w:r>
          </w:p>
        </w:tc>
        <w:tc>
          <w:tcPr>
            <w:tcW w:type="dxa" w:w="22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A、B</w:t>
            </w:r>
          </w:p>
        </w:tc>
        <w:tc>
          <w:tcPr>
            <w:tcW w:type="dxa" w:w="48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统一 Evaluator、逐场景 CSV/汇总 JSON、三种子报告与配置/哈希记录共同证明结果来源，并区分学习和搜索收益。</w:t>
            </w:r>
          </w:p>
        </w:tc>
      </w:tr>
      <w:tr>
        <w:trPr>
          <w:cantSplit/>
        </w:trPr>
        <w:tc>
          <w:tcPr>
            <w:tcW w:type="dxa" w:w="1757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国产系统适配</w:t>
            </w:r>
          </w:p>
        </w:tc>
        <w:tc>
          <w:tcPr>
            <w:tcW w:type="dxa" w:w="113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C</w:t>
            </w:r>
          </w:p>
        </w:tc>
        <w:tc>
          <w:tcPr>
            <w:tcW w:type="dxa" w:w="2268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A、B</w:t>
            </w:r>
          </w:p>
        </w:tc>
        <w:tc>
          <w:tcPr>
            <w:tcW w:type="dxa" w:w="4876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spacing w:line="259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平台验收脚本、环境记录、pytest 结果、训练与回放摘要共同证明 openKylin/openEuler CPU 环境中的实际运行。</w:t>
            </w:r>
          </w:p>
        </w:tc>
      </w:tr>
    </w:tbl>
    <w:p>
      <w:pPr>
        <w:keepNext/>
        <w:spacing w:before="160" w:after="80"/>
      </w:pPr>
      <w:r>
        <w:rPr>
          <w:rFonts w:ascii="Calibri" w:hAnsi="Calibri" w:eastAsia="微软雅黑"/>
          <w:b/>
          <w:color w:val="1F4E79"/>
          <w:sz w:val="26"/>
        </w:rPr>
        <w:t>三、共同贡献与责任说明</w:t>
      </w:r>
    </w:p>
    <w:p>
      <w:pPr>
        <w:pStyle w:val="ListBullet"/>
        <w:spacing w:line="283" w:lineRule="auto" w:after="40"/>
        <w:ind w:left="397" w:hanging="198"/>
      </w:pPr>
      <w:r>
        <w:rPr>
          <w:rFonts w:ascii="Calibri" w:hAnsi="Calibri" w:eastAsia="宋体"/>
          <w:b w:val="0"/>
          <w:sz w:val="20"/>
        </w:rPr>
        <w:t>A、B、C 共同参与方案评审、关键代码复核、实验结果核对和提交材料检查；出现接口或指标变更时，由相关模块负责人修改，其他成员进行交叉验证。</w:t>
      </w:r>
    </w:p>
    <w:p>
      <w:pPr>
        <w:pStyle w:val="ListBullet"/>
        <w:spacing w:line="283" w:lineRule="auto" w:after="40"/>
        <w:ind w:left="397" w:hanging="198"/>
      </w:pPr>
      <w:r>
        <w:rPr>
          <w:rFonts w:ascii="Calibri" w:hAnsi="Calibri" w:eastAsia="宋体"/>
          <w:b w:val="0"/>
          <w:sz w:val="20"/>
        </w:rPr>
        <w:t>项目报告中的性能结论以固定数据划分、统一模拟器和可追溯输出为依据；组合策略的收益与纯强化学习收益分别表述，不将搜索带来的提升归入模型训练。</w:t>
      </w:r>
    </w:p>
    <w:p>
      <w:pPr>
        <w:pStyle w:val="ListBullet"/>
        <w:spacing w:line="283" w:lineRule="auto" w:after="40"/>
        <w:ind w:left="397" w:hanging="198"/>
      </w:pPr>
      <w:r>
        <w:rPr>
          <w:rFonts w:ascii="Calibri" w:hAnsi="Calibri" w:eastAsia="宋体"/>
          <w:b w:val="0"/>
          <w:sz w:val="20"/>
        </w:rPr>
        <w:t>本说明仅使用匿名成员代号，不包含学校、指导教师、真实姓名、联系方式等身份信息，符合匿名提交要求。</w:t>
      </w:r>
    </w:p>
    <w:p>
      <w:pPr>
        <w:spacing w:before="200"/>
        <w:jc w:val="right"/>
      </w:pPr>
      <w:r>
        <w:rPr>
          <w:rFonts w:ascii="Calibri" w:hAnsi="Calibri" w:eastAsia="宋体"/>
          <w:b/>
          <w:sz w:val="21"/>
        </w:rPr>
        <w:t>参赛队确认：A（组长）、B、C</w:t>
      </w:r>
    </w:p>
    <w:sectPr w:rsidR="00FC693F" w:rsidRPr="0006063C" w:rsidSect="00034616">
      <w:pgSz w:w="11906" w:h="16838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