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«Применение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ряда Маклорена для вычисления синуса, косинуса, экспоненты и натурального логарифма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id w:val="665944735"/>
        <w:docPartObj>
          <w:docPartGallery w:val="Table of Contents"/>
          <w:docPartUnique/>
        </w:docPartObj>
      </w:sdtPr>
      <w:sdtContent>
        <w:p>
          <w:pPr>
            <w:pStyle w:val="26"/>
            <w:tabs>
              <w:tab w:val="right" w:leader="dot" w:pos="9847"/>
            </w:tabs>
            <w:spacing w:before="565"/>
            <w:rPr>
              <w:rFonts w:ascii="Calibri" w:hAnsi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"_bookmark0"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Постановка задачи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3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spacing w:before="98"/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"_bookmark1"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Метод</w:t>
          </w:r>
          <w:r>
            <w:rPr>
              <w:rStyle w:val="8"/>
              <w:color w:val="auto"/>
              <w:u w:val="none"/>
              <w:lang w:val="ru-RU"/>
            </w:rPr>
            <w:t>ы</w:t>
          </w:r>
          <w:r>
            <w:rPr>
              <w:rStyle w:val="8"/>
              <w:color w:val="auto"/>
              <w:spacing w:val="-5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решения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4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"_bookmark2"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Руководство</w:t>
          </w:r>
          <w:r>
            <w:rPr>
              <w:rStyle w:val="8"/>
              <w:color w:val="auto"/>
              <w:spacing w:val="-1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пользователя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6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spacing w:before="99"/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"_bookmark3"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Описание</w:t>
          </w:r>
          <w:r>
            <w:rPr>
              <w:rStyle w:val="8"/>
              <w:color w:val="auto"/>
              <w:spacing w:val="-1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программной</w:t>
          </w:r>
          <w:r>
            <w:rPr>
              <w:rStyle w:val="8"/>
              <w:color w:val="auto"/>
              <w:spacing w:val="-3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реализации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7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"_bookmark4"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Подтверждение</w:t>
          </w:r>
          <w:r>
            <w:rPr>
              <w:rStyle w:val="8"/>
              <w:color w:val="auto"/>
              <w:spacing w:val="-6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корректности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8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spacing w:before="99"/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"_bookmark5"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Результаты</w:t>
          </w:r>
          <w:r>
            <w:rPr>
              <w:rStyle w:val="8"/>
              <w:color w:val="auto"/>
              <w:spacing w:val="-1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экспериментов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9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"_bookmark6"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Заключение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16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"_bookmark7"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Приложение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17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sectPr>
              <w:pgSz w:w="11920" w:h="16850"/>
              <w:pgMar w:top="1040" w:right="760" w:bottom="840" w:left="920" w:header="0" w:footer="642" w:gutter="0"/>
              <w:pgNumType w:start="2"/>
              <w:cols w:space="720" w:num="1"/>
            </w:sectPr>
          </w:pPr>
          <w:r>
            <w:fldChar w:fldCharType="end"/>
          </w:r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6962563"/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лабораторной работы: реализовать на языке программирования 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  <w:lang w:val="ru-RU"/>
        </w:rPr>
        <w:t xml:space="preserve"> для данных типа </w:t>
      </w:r>
      <w:r>
        <w:rPr>
          <w:rFonts w:hint="default"/>
          <w:sz w:val="28"/>
          <w:szCs w:val="28"/>
          <w:lang w:val="en-US"/>
        </w:rPr>
        <w:t>double</w:t>
      </w:r>
      <w:r>
        <w:rPr>
          <w:rFonts w:hint="default"/>
          <w:sz w:val="28"/>
          <w:szCs w:val="28"/>
          <w:lang w:val="ru-RU"/>
        </w:rPr>
        <w:t xml:space="preserve"> функции вычисления синуса, косинуса, экспоненты и натурального логарифма с использованием прямого и обратного методов суммирования элементов ряда Маклорена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описать алгоритм и программную реализацию этих суммирований, провести эксперименты, показывающие корректность вычислений и сравнивающие точность обоих суммирования, а также описать способ проведения экспериментов и сделать вывод на основе полученных результатов.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Метод</w:t>
      </w:r>
      <w:r>
        <w:rPr>
          <w:rFonts w:ascii="Times New Roman" w:hAnsi="Times New Roman"/>
          <w:color w:val="auto"/>
          <w:lang w:val="ru-RU"/>
        </w:rPr>
        <w:t>ы</w:t>
      </w:r>
      <w:r>
        <w:rPr>
          <w:rFonts w:ascii="Times New Roman" w:hAnsi="Times New Roman"/>
          <w:color w:val="auto"/>
        </w:rPr>
        <w:t xml:space="preserve"> решения</w:t>
      </w:r>
      <w:bookmarkEnd w:id="1"/>
    </w:p>
    <w:p>
      <w:pPr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color w:val="auto"/>
          <w:sz w:val="26"/>
          <w:szCs w:val="26"/>
          <w:lang w:val="ru-RU"/>
        </w:rPr>
        <w:t>Для</w:t>
      </w:r>
      <w:r>
        <w:rPr>
          <w:rFonts w:hint="default" w:ascii="Times New Roman" w:hAnsi="Times New Roman"/>
          <w:b/>
          <w:bCs/>
          <w:color w:val="auto"/>
          <w:sz w:val="26"/>
          <w:szCs w:val="26"/>
          <w:lang w:val="ru-RU"/>
        </w:rPr>
        <w:t xml:space="preserve"> подсчёта функций использовались следующие разложения в ряд Маклорена:</w:t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ru-RU"/>
        </w:rPr>
        <w:t>•</w:t>
      </w:r>
      <w:r>
        <w:rPr>
          <w:rFonts w:hint="default" w:ascii="Times New Roman" w:hAnsi="Times New Roman"/>
          <w:b/>
          <w:bCs/>
          <w:color w:val="auto"/>
          <w:lang w:val="ru-RU"/>
        </w:rPr>
        <w:t xml:space="preserve"> </w:t>
      </w:r>
      <w:r>
        <w:rPr>
          <w:rFonts w:ascii="Times New Roman" w:hAnsi="Times New Roman"/>
          <w:b/>
          <w:bCs/>
          <w:color w:val="auto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lang w:val="ru-RU"/>
        </w:rPr>
        <w:t>:</w:t>
      </w:r>
    </w:p>
    <w:p>
      <w:pPr>
        <w:rPr>
          <w:rFonts w:ascii="Times New Roman" w:hAnsi="Times New Roman"/>
          <w:color w:val="auto"/>
        </w:rPr>
      </w:pPr>
      <w: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ru-RU"/>
        </w:rPr>
        <w:t>•</w:t>
      </w:r>
      <w:r>
        <w:rPr>
          <w:rFonts w:hint="default" w:ascii="Times New Roman" w:hAnsi="Times New Roman"/>
          <w:b/>
          <w:bCs/>
          <w:color w:val="auto"/>
          <w:lang w:val="ru-RU"/>
        </w:rPr>
        <w:t xml:space="preserve"> </w:t>
      </w:r>
      <w:r>
        <w:rPr>
          <w:rFonts w:ascii="Times New Roman" w:hAnsi="Times New Roman"/>
          <w:b/>
          <w:bCs/>
          <w:color w:val="auto"/>
          <w:lang w:val="ru-RU"/>
        </w:rPr>
        <w:t>Косинус</w:t>
      </w:r>
      <w:r>
        <w:rPr>
          <w:rFonts w:hint="default" w:ascii="Times New Roman" w:hAnsi="Times New Roman"/>
          <w:b/>
          <w:bCs/>
          <w:color w:val="auto"/>
          <w:lang w:val="ru-RU"/>
        </w:rPr>
        <w:t>:</w:t>
      </w:r>
    </w:p>
    <w:p>
      <w: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b/>
          <w:bCs/>
          <w:color w:val="auto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ru-RU"/>
        </w:rPr>
        <w:t>•</w:t>
      </w:r>
      <w:r>
        <w:rPr>
          <w:rFonts w:hint="default" w:ascii="Times New Roman" w:hAnsi="Times New Roman"/>
          <w:b/>
          <w:bCs/>
          <w:color w:val="auto"/>
          <w:lang w:val="ru-RU"/>
        </w:rPr>
        <w:t xml:space="preserve"> </w:t>
      </w:r>
      <w:r>
        <w:rPr>
          <w:rFonts w:ascii="Times New Roman" w:hAnsi="Times New Roman"/>
          <w:b/>
          <w:bCs/>
          <w:color w:val="auto"/>
          <w:lang w:val="ru-RU"/>
        </w:rPr>
        <w:t>Экспонента</w:t>
      </w:r>
      <w:r>
        <w:rPr>
          <w:rFonts w:hint="default" w:ascii="Times New Roman" w:hAnsi="Times New Roman"/>
          <w:b/>
          <w:bCs/>
          <w:color w:val="auto"/>
          <w:lang w:val="ru-RU"/>
        </w:rPr>
        <w:t>:</w:t>
      </w:r>
    </w:p>
    <w:p>
      <w:pPr>
        <w:jc w:val="both"/>
      </w:pPr>
      <w: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rFonts w:hint="default"/>
          <w:b/>
          <w:bCs/>
          <w:lang w:val="ru-RU"/>
        </w:rPr>
        <w:t xml:space="preserve">• </w:t>
      </w:r>
      <w:r>
        <w:rPr>
          <w:b/>
          <w:bCs/>
          <w:lang w:val="ru-RU"/>
        </w:rPr>
        <w:t>Натуральный</w:t>
      </w:r>
      <w:r>
        <w:rPr>
          <w:rFonts w:hint="default"/>
          <w:b/>
          <w:bCs/>
          <w:lang w:val="ru-RU"/>
        </w:rPr>
        <w:t xml:space="preserve"> логарифм:</w:t>
      </w:r>
    </w:p>
    <w:p>
      <w:pPr>
        <w:jc w:val="both"/>
      </w:pPr>
      <w: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Также</w:t>
      </w:r>
      <w:r>
        <w:rPr>
          <w:rFonts w:hint="default"/>
          <w:b/>
          <w:bCs/>
          <w:sz w:val="26"/>
          <w:szCs w:val="26"/>
          <w:lang w:val="ru-RU"/>
        </w:rPr>
        <w:t xml:space="preserve"> использовались следующие методы суммирования:</w:t>
      </w:r>
    </w:p>
    <w:p>
      <w:pPr>
        <w:jc w:val="both"/>
        <w:rPr>
          <w:rFonts w:hint="default"/>
          <w:b/>
          <w:bCs/>
          <w:sz w:val="26"/>
          <w:szCs w:val="26"/>
          <w:lang w:val="ru-RU"/>
        </w:rPr>
      </w:pPr>
    </w:p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• Прямое суммирование: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Этот метод подразумевает суммирование элементов ряда Маклорена с его начала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• Обратное суммирование: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Этот метод подразумевает суммирование элементов ряда Маклорена, начиная с </w:t>
      </w:r>
      <w:r>
        <w:rPr>
          <w:rFonts w:hint="default"/>
          <w:b w:val="0"/>
          <w:bCs w:val="0"/>
          <w:sz w:val="24"/>
          <w:szCs w:val="24"/>
          <w:lang w:val="en-US"/>
        </w:rPr>
        <w:t>i-</w:t>
      </w:r>
      <w:r>
        <w:rPr>
          <w:rFonts w:hint="default"/>
          <w:b w:val="0"/>
          <w:bCs w:val="0"/>
          <w:sz w:val="24"/>
          <w:szCs w:val="24"/>
          <w:lang w:val="ru-RU"/>
        </w:rPr>
        <w:t>ого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>элемента и до начала ряда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начале программа выводит пронумерованный список функций для вычисления (рис. 1)</w:t>
      </w:r>
    </w:p>
    <w:p>
      <w:pPr>
        <w:jc w:val="center"/>
      </w:pPr>
      <w:r>
        <w:drawing>
          <wp:inline distT="0" distB="0" distL="114300" distR="114300">
            <wp:extent cx="1924050" cy="1457325"/>
            <wp:effectExtent l="0" t="0" r="0" b="952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вывод списка функций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 этом этапе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Number: </w:t>
      </w:r>
      <w:r>
        <w:rPr>
          <w:rFonts w:hint="default"/>
          <w:sz w:val="28"/>
          <w:szCs w:val="28"/>
          <w:lang w:val="ru-RU"/>
        </w:rPr>
        <w:t xml:space="preserve">», напротив которой пользователю нужно ввести номер функции (цифру от 1 до 4) согласно выведенному списку. 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The value of x: </w:t>
      </w:r>
      <w:r>
        <w:rPr>
          <w:rFonts w:hint="default"/>
          <w:sz w:val="28"/>
          <w:szCs w:val="28"/>
          <w:lang w:val="ru-RU"/>
        </w:rPr>
        <w:t xml:space="preserve"> », напротив которой пользователю нужно ввести значение аргумента х для выбранной функции.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введённые данные соответствуют одному из четырёх номеров функций,  программа выведет следующий набор фраз для каждого метода суммирования: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Function result: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результат вычисления выбранной функции для выбранного аргумента х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Absolute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абсолютной погрешности вычислений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Relative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относительной погрешности вычислений в процентах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Перед выведением набора этих фраз для прямого суммирования выводится фраза «For straight sum:», а перед выведением этого же набора фраз для обратного суммирования выводится фраза «For reverse sum:» </w:t>
      </w:r>
      <w:bookmarkStart w:id="8" w:name="_GoBack"/>
      <w:bookmarkEnd w:id="8"/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введённые пользователем данные не удовлетворяют требованиям, то программа выведет фразу «</w:t>
      </w:r>
      <w:r>
        <w:rPr>
          <w:rFonts w:hint="default"/>
          <w:sz w:val="28"/>
          <w:szCs w:val="28"/>
          <w:lang w:val="en-US"/>
        </w:rPr>
        <w:t>ERROR: invalid function number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сразу завершится.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spacing w:line="360" w:lineRule="auto"/>
        <w:jc w:val="both"/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</w:pPr>
      <w:r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  <w:t xml:space="preserve">Основные функции: 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Style w:val="23"/>
          <w:rFonts w:hint="default" w:asciiTheme="majorHAnsi"/>
          <w:b/>
          <w:bCs/>
          <w:color w:val="auto"/>
          <w:sz w:val="28"/>
          <w:szCs w:val="28"/>
          <w:lang w:val="en-US" w:eastAsia="ru-RU"/>
        </w:rPr>
        <w:t xml:space="preserve">double straight_summ(double function(double, uint), double x_sum, double first_summand)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прямое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 w:eastAsia="ru-RU"/>
        </w:rPr>
        <w:t>double reverse_summ(double function(double, uint), double x_sum, double first_summand)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обратное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sinx(double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cosx(double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косинуса.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expx(double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экспоненты.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ln_1_plus_x(double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натурального логарифма.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rPr>
          <w:rFonts w:hint="default" w:ascii="Times New Roman" w:hAnsi="Times New Roman"/>
          <w:color w:val="auto"/>
          <w:lang w:val="en-US"/>
        </w:rPr>
      </w:pPr>
      <w:r>
        <w:rPr>
          <w:rFonts w:ascii="Times New Roman" w:hAnsi="Times New Roman"/>
          <w:color w:val="auto"/>
          <w:lang w:val="ru-RU"/>
        </w:rPr>
        <w:t>Для</w:t>
      </w:r>
      <w:r>
        <w:rPr>
          <w:rFonts w:hint="default" w:ascii="Times New Roman" w:hAnsi="Times New Roman"/>
          <w:color w:val="auto"/>
          <w:lang w:val="ru-RU"/>
        </w:rPr>
        <w:t xml:space="preserve"> подтверждения корректности программной реализации использовались стандратные функции </w:t>
      </w:r>
      <w:r>
        <w:rPr>
          <w:rFonts w:hint="default" w:ascii="Times New Roman" w:hAnsi="Times New Roman"/>
          <w:color w:val="auto"/>
          <w:lang w:val="en-US"/>
        </w:rPr>
        <w:t xml:space="preserve">sin(), cos(), exp() </w:t>
      </w:r>
      <w:r>
        <w:rPr>
          <w:rFonts w:hint="default" w:ascii="Times New Roman" w:hAnsi="Times New Roman"/>
          <w:color w:val="auto"/>
          <w:lang w:val="ru-RU"/>
        </w:rPr>
        <w:t xml:space="preserve">и </w:t>
      </w:r>
      <w:r>
        <w:rPr>
          <w:rFonts w:hint="default" w:ascii="Times New Roman" w:hAnsi="Times New Roman"/>
          <w:color w:val="auto"/>
          <w:lang w:val="en-US"/>
        </w:rPr>
        <w:t xml:space="preserve">log() </w:t>
      </w:r>
      <w:r>
        <w:rPr>
          <w:rFonts w:hint="default" w:ascii="Times New Roman" w:hAnsi="Times New Roman"/>
          <w:color w:val="auto"/>
          <w:lang w:val="ru-RU"/>
        </w:rPr>
        <w:t xml:space="preserve">из библиотеки </w:t>
      </w:r>
      <w:r>
        <w:rPr>
          <w:rFonts w:hint="default" w:ascii="Times New Roman" w:hAnsi="Times New Roman"/>
          <w:color w:val="auto"/>
          <w:lang w:val="en-US"/>
        </w:rPr>
        <w:t>math.h.</w:t>
      </w:r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>С помощью реализованных функций absolute_error() и relative_error() вычисляются абсолютная и относительная погрешность вычислений соответственно.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9"/>
        <w:gridCol w:w="1140"/>
        <w:gridCol w:w="1387"/>
        <w:gridCol w:w="1467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3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0.00000000000002</w:t>
            </w:r>
          </w:p>
        </w:tc>
        <w:tc>
          <w:tcPr>
            <w:tcW w:w="13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0.00000000000002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0.0000000000026438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0.0000000051327279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0.0000000000036734%</w:t>
            </w:r>
          </w:p>
        </w:tc>
        <w:tc>
          <w:tcPr>
            <w:tcW w:w="13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0.0000000000000116%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0.0000000000000116%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0.0000000000036734%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0.0000000004065544%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0.0000005622163954%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9"/>
        <w:gridCol w:w="1096"/>
        <w:gridCol w:w="1419"/>
        <w:gridCol w:w="1419"/>
        <w:gridCol w:w="1487"/>
        <w:gridCol w:w="1487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0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0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0.0000000000002933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0.000000000000005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0.000000000000005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0.0000000000002933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0.0000000000306644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0.0000000011312729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0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0.0000000000539172%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0.000000000000521%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0.000000000000521%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0.0000000000539172%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0.0000000047155057%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0.0000001239146434%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Косинус: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3"/>
        <w:gridCol w:w="1466"/>
        <w:gridCol w:w="1467"/>
        <w:gridCol w:w="1467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0.0000000000001523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0.0000000000001523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0.0000000000094558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0.0000000005703136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0.0000000000181537%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0.0000000000001761%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0.0000000000001761%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0.0000000000181537%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0.0000000012446913%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0.0000001397546431%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4"/>
        <w:gridCol w:w="1506"/>
        <w:gridCol w:w="1438"/>
        <w:gridCol w:w="1438"/>
        <w:gridCol w:w="1506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0.000000000000096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0.0000000000000004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0.0000000000000004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0.000000000000096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0.0000000000435577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0.0000000039778491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0.0000000000114453%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0.0000000000114453%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0.0000000057336325%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0.0000009747669689%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Экспонента: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2"/>
        <w:gridCol w:w="1465"/>
        <w:gridCol w:w="1465"/>
        <w:gridCol w:w="1596"/>
        <w:gridCol w:w="1465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0.0000000000000784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0.0000000000000008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&lt;0.0000000000000000</w:t>
            </w: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0.000000000003638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0.0000099483877420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15.2993919253349304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0.0000001726707771%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0.0000000000123064%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&lt;0.00000000000000001%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0.0000000000000165%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0.0000000003043235%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0.0000031534398082%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3"/>
        <w:gridCol w:w="1485"/>
        <w:gridCol w:w="1485"/>
        <w:gridCol w:w="1485"/>
        <w:gridCol w:w="1485"/>
        <w:gridCol w:w="1485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0.0000000000001206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0.0000000000000853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0.0000000000145519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0.0000029597431421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6.0446369051933289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0.0000002655865535%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0.0000000000017764%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0.0000000000000575%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0.0000000000000661%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0.0000000000905392%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0.0000012458925409%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Натуральный логарифм: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7"/>
        <w:gridCol w:w="1541"/>
        <w:gridCol w:w="1475"/>
        <w:gridCol w:w="1475"/>
        <w:gridCol w:w="1475"/>
        <w:gridCol w:w="1475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-0.99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0.5628124153342062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0.0000000429051656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0.0000000000000002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0.0000000065275553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0.010099980015973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13.9228748979130241%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0.0000030949535808%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0.0000000000000320%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0.0000000000000274%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0.0000011664351397%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1.4571191082121893%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7"/>
        <w:gridCol w:w="1541"/>
        <w:gridCol w:w="1475"/>
        <w:gridCol w:w="1475"/>
        <w:gridCol w:w="1475"/>
        <w:gridCol w:w="1475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-0.99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0.5507122939914559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0.0000000315787323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0.000000004798878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0.0099000199840272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13.5828835484651016%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0.0000022779240759%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0.0000000000000160%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0.0000008575308464%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1.4282709735657722%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Сравнивая полученные результаты, можно сделать вывод о том, что для функции синуса более точен прямой метод суммирования, для косинуса - обратный, для экспоненты - прямой, для логарифма - обратный.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были реализованы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для типа данных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double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функции вычисления синуса, косинуса, экспоненты и натурального логарифма с использованием прямого и обратного методов суммирования элементов ряда Маклорена. Также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обоих методов суммирования, был описан способ проведения экспериментов и сделан вывод на основе полученных результатов.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color w:val="auto"/>
          <w:sz w:val="36"/>
          <w:szCs w:val="36"/>
          <w:lang w:val="ru-RU"/>
        </w:rPr>
        <w:t>Приложение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543550" cy="2886075"/>
            <wp:effectExtent l="0" t="0" r="0" b="9525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  <w:bookmarkStart w:id="7" w:name="_Приложение"/>
      <w:bookmarkEnd w:id="7"/>
      <w:r>
        <w:drawing>
          <wp:inline distT="0" distB="0" distL="114300" distR="114300">
            <wp:extent cx="5486400" cy="4667250"/>
            <wp:effectExtent l="0" t="0" r="0" b="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3810000" cy="3848100"/>
            <wp:effectExtent l="0" t="0" r="0" b="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r>
        <w:drawing>
          <wp:inline distT="0" distB="0" distL="114300" distR="114300">
            <wp:extent cx="5619750" cy="2895600"/>
            <wp:effectExtent l="0" t="0" r="0" b="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1134" w:bottom="567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u2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305155"/>
      <w:docPartObj>
        <w:docPartGallery w:val="autotext"/>
      </w:docPartObj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624B2F"/>
    <w:rsid w:val="0FDC6ACC"/>
    <w:rsid w:val="16C00AA7"/>
    <w:rsid w:val="31445146"/>
    <w:rsid w:val="3AF13BAA"/>
    <w:rsid w:val="55DA0A2A"/>
    <w:rsid w:val="68AF4AB3"/>
    <w:rsid w:val="6E8D6C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6">
    <w:name w:val="TOC 1"/>
    <w:basedOn w:val="1"/>
    <w:qFormat/>
    <w:uiPriority w:val="1"/>
    <w:pPr>
      <w:spacing w:before="101"/>
      <w:ind w:left="21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15</TotalTime>
  <ScaleCrop>false</ScaleCrop>
  <LinksUpToDate>false</LinksUpToDate>
  <CharactersWithSpaces>1726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Win10_Game_OS</cp:lastModifiedBy>
  <dcterms:modified xsi:type="dcterms:W3CDTF">2022-03-22T18:49:09Z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66C37D674C434377BEBF7C60247E5CDA</vt:lpwstr>
  </property>
</Properties>
</file>