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983"/>
          </w:tcPr>
          <w:p/>
        </w:tc>
        <w:tc>
          <w:tcPr>
            <w:tcW w:type="dxa" w:w="4983"/>
          </w:tcPr>
          <w:p>
            <w:pPr>
              <w:spacing w:after="0"/>
            </w:pPr>
            <w:r>
              <w:rPr>
                <w:b/>
              </w:rPr>
              <w:t>УТВЕРЖДАЮ</w:t>
            </w:r>
          </w:p>
          <w:p>
            <w:pPr>
              <w:spacing w:after="0"/>
            </w:pPr>
            <w:r>
              <w:rPr>
                <w:b w:val="0"/>
              </w:rPr>
              <w:t>Зам. ген. директора –</w:t>
            </w:r>
          </w:p>
          <w:p>
            <w:pPr>
              <w:spacing w:after="0"/>
            </w:pPr>
            <w:r>
              <w:rPr>
                <w:b w:val="0"/>
              </w:rPr>
              <w:t>главный инженер</w:t>
            </w:r>
          </w:p>
          <w:p>
            <w:pPr>
              <w:spacing w:after="0"/>
            </w:pPr>
            <w:r>
              <w:rPr>
                <w:b w:val="0"/>
              </w:rPr>
              <w:t>ООО "Леноблтеплоснаб"</w:t>
            </w:r>
          </w:p>
          <w:p>
            <w:pPr>
              <w:spacing w:after="0"/>
            </w:pPr>
            <w:r>
              <w:rPr>
                <w:b w:val="0"/>
              </w:rPr>
              <w:t>Степанов А.В.</w:t>
            </w:r>
          </w:p>
          <w:p>
            <w:pPr>
              <w:spacing w:after="0"/>
            </w:pPr>
            <w:r>
              <w:rPr>
                <w:b w:val="0"/>
              </w:rPr>
              <w:t>__________________</w:t>
            </w:r>
          </w:p>
          <w:p>
            <w:pPr>
              <w:spacing w:after="0"/>
            </w:pPr>
            <w:r>
              <w:rPr>
                <w:b w:val="0"/>
              </w:rPr>
              <w:t>«___» _______________ 2025 г.</w:t>
            </w:r>
          </w:p>
        </w:tc>
      </w:tr>
    </w:tbl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120" w:before="0"/>
        <w:jc w:val="center"/>
      </w:pPr>
      <w:r>
        <w:rPr>
          <w:b/>
        </w:rPr>
        <w:t>ТЕХНИЧЕСКИЙ ОТЧЁТ</w:t>
      </w:r>
    </w:p>
    <w:p>
      <w:pPr>
        <w:spacing w:after="120" w:before="0"/>
        <w:jc w:val="center"/>
      </w:pPr>
      <w:r>
        <w:rPr>
          <w:b w:val="0"/>
        </w:rPr>
        <w:t>по результатам режимно-наладочных испытаний</w:t>
      </w:r>
    </w:p>
    <w:p>
      <w:pPr>
        <w:spacing w:after="40" w:before="0"/>
        <w:jc w:val="center"/>
      </w:pPr>
      <w:r>
        <w:rPr>
          <w:b w:val="0"/>
        </w:rPr>
        <w:t>водогрейного котла типа Турботерм 250 ст. №2,</w:t>
      </w:r>
    </w:p>
    <w:p>
      <w:pPr>
        <w:spacing w:after="40" w:before="0"/>
        <w:jc w:val="center"/>
      </w:pPr>
      <w:r>
        <w:rPr>
          <w:b w:val="0"/>
        </w:rPr>
        <w:t>работающего на природном газе,</w:t>
      </w:r>
    </w:p>
    <w:p>
      <w:pPr>
        <w:spacing w:after="40" w:before="0"/>
        <w:jc w:val="center"/>
      </w:pPr>
      <w:r>
        <w:rPr>
          <w:b w:val="0"/>
        </w:rPr>
        <w:t>установленного в котельной по адресу:</w:t>
      </w:r>
    </w:p>
    <w:p>
      <w:pPr>
        <w:spacing w:after="40" w:before="0"/>
        <w:jc w:val="center"/>
      </w:pPr>
      <w:r>
        <w:rPr>
          <w:b w:val="0"/>
        </w:rPr>
        <w:t>г. Новая Ладога, ул. Луначарского, д. 4,</w:t>
      </w:r>
    </w:p>
    <w:p>
      <w:pPr>
        <w:spacing w:after="40" w:before="0"/>
        <w:jc w:val="center"/>
      </w:pPr>
      <w:r>
        <w:rPr>
          <w:b w:val="0"/>
        </w:rPr>
        <w:t>Волховского р-на Ленинградской области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</w:pPr>
      <w:r>
        <w:rPr>
          <w:b/>
        </w:rPr>
        <w:t>Разработал:</w:t>
      </w:r>
    </w:p>
    <w:p>
      <w:pPr>
        <w:spacing w:after="240" w:before="0"/>
      </w:pPr>
      <w:r>
        <w:rPr>
          <w:b w:val="0"/>
        </w:rPr>
        <w:t>Зам. главного инженера            ________________ /Амбарцумов А.В./</w:t>
      </w:r>
    </w:p>
    <w:p>
      <w:pPr>
        <w:spacing w:after="40" w:before="0"/>
      </w:pPr>
      <w:r>
        <w:rPr>
          <w:b/>
        </w:rPr>
        <w:t>Согласовано:</w:t>
      </w:r>
    </w:p>
    <w:p>
      <w:pPr>
        <w:spacing w:after="240" w:before="0"/>
      </w:pPr>
      <w:r>
        <w:rPr>
          <w:b w:val="0"/>
        </w:rPr>
        <w:t>Начальник котельного участка ________________ /_______________/</w:t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0" w:before="0"/>
      </w:pPr>
      <w:r>
        <w:rPr>
          <w:b w:val="0"/>
        </w:rPr>
      </w:r>
    </w:p>
    <w:p>
      <w:pPr>
        <w:spacing w:after="40" w:before="0"/>
        <w:jc w:val="center"/>
      </w:pPr>
      <w:r>
        <w:rPr>
          <w:b w:val="0"/>
        </w:rPr>
        <w:t>Санкт – Петербург</w:t>
      </w:r>
    </w:p>
    <w:p>
      <w:pPr>
        <w:spacing w:after="40" w:before="0"/>
        <w:jc w:val="center"/>
      </w:pPr>
      <w:r>
        <w:rPr>
          <w:b w:val="0"/>
        </w:rPr>
        <w:t>2025 г.</w:t>
      </w:r>
      <w:r>
        <w:br w:type="page"/>
      </w:r>
    </w:p>
    <w:p>
      <w:pPr>
        <w:spacing w:after="40" w:before="0"/>
        <w:jc w:val="center"/>
      </w:pPr>
      <w:r>
        <w:rPr>
          <w:b/>
        </w:rPr>
        <w:t>Аннотация</w:t>
      </w:r>
    </w:p>
    <w:p>
      <w:pPr>
        <w:spacing w:after="20" w:before="0"/>
        <w:ind w:firstLine="709"/>
      </w:pPr>
      <w:r>
        <w:rPr>
          <w:b w:val="0"/>
        </w:rPr>
        <w:t>Настоящий отчет составлен по результатам режимно-наладочных испытаний водогрейного котла типа Турботерм 250 ст. №2 при сжигании природного газа в котельной по адресу: г. Новая Ладога, ул. Луначарского, д. 4,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 w:before="0"/>
        <w:ind w:firstLine="709"/>
      </w:pPr>
      <w:r>
        <w:rPr>
          <w:b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 w:before="0"/>
        <w:jc w:val="center"/>
      </w:pPr>
      <w:r>
        <w:rPr>
          <w:b/>
        </w:rPr>
        <w:t>Содержание</w:t>
      </w:r>
    </w:p>
    <w:p>
      <w:pPr>
        <w:spacing w:after="20" w:before="0"/>
      </w:pPr>
      <w:r>
        <w:rPr>
          <w:b w:val="0"/>
        </w:rPr>
        <w:t>1. Введение</w:t>
      </w:r>
    </w:p>
    <w:p>
      <w:pPr>
        <w:spacing w:after="20" w:before="0"/>
      </w:pPr>
      <w:r>
        <w:rPr>
          <w:b w:val="0"/>
        </w:rPr>
        <w:t>2. Краткая техническая характеристика оборудования</w:t>
      </w:r>
    </w:p>
    <w:p>
      <w:pPr>
        <w:spacing w:after="20" w:before="0"/>
      </w:pPr>
      <w:r>
        <w:rPr>
          <w:b w:val="0"/>
        </w:rPr>
        <w:t>3. Программа проведения наладочных работ</w:t>
      </w:r>
    </w:p>
    <w:p>
      <w:pPr>
        <w:spacing w:after="20" w:before="0"/>
      </w:pPr>
      <w:r>
        <w:rPr>
          <w:b w:val="0"/>
        </w:rPr>
        <w:t>4. Методика проведения испытаний</w:t>
      </w:r>
    </w:p>
    <w:p>
      <w:pPr>
        <w:spacing w:after="20" w:before="0"/>
      </w:pPr>
      <w:r>
        <w:rPr>
          <w:b w:val="0"/>
        </w:rPr>
        <w:t>5. Условия проведения испытаний</w:t>
      </w:r>
    </w:p>
    <w:p>
      <w:pPr>
        <w:spacing w:after="20" w:before="0"/>
      </w:pPr>
      <w:r>
        <w:rPr>
          <w:b w:val="0"/>
        </w:rPr>
        <w:t>6. Результаты испытаний</w:t>
      </w:r>
    </w:p>
    <w:p>
      <w:pPr>
        <w:spacing w:after="20" w:before="0"/>
      </w:pPr>
      <w:r>
        <w:rPr>
          <w:b w:val="0"/>
        </w:rPr>
        <w:t>7. Выводы и рекомендации</w:t>
      </w:r>
    </w:p>
    <w:p>
      <w:pPr>
        <w:spacing w:after="20" w:before="0"/>
      </w:pPr>
      <w:r>
        <w:rPr>
          <w:b w:val="0"/>
        </w:rPr>
        <w:t>8. Литература</w:t>
      </w:r>
    </w:p>
    <w:p>
      <w:pPr>
        <w:spacing w:after="20" w:before="0"/>
      </w:pPr>
      <w:r>
        <w:rPr>
          <w:b w:val="0"/>
        </w:rPr>
        <w:t>Приложение 1. Режимная карта работы котла</w:t>
      </w:r>
    </w:p>
    <w:p>
      <w:pPr>
        <w:spacing w:after="20" w:before="0"/>
      </w:pPr>
      <w:r>
        <w:rPr>
          <w:b w:val="0"/>
        </w:rPr>
        <w:t>Приложение 2. Карта настройки автоматики безопасности</w:t>
      </w:r>
    </w:p>
    <w:p>
      <w:pPr>
        <w:spacing w:after="40" w:before="0"/>
        <w:jc w:val="center"/>
      </w:pPr>
      <w:r>
        <w:rPr>
          <w:b/>
        </w:rPr>
        <w:t>1. Введение</w:t>
      </w:r>
    </w:p>
    <w:p>
      <w:pPr>
        <w:spacing w:after="20" w:before="0"/>
        <w:ind w:firstLine="709"/>
      </w:pPr>
      <w:r>
        <w:rPr>
          <w:b w:val="0"/>
        </w:rPr>
        <w:t>Режимно-наладочные испытания котла типа Турботерм 250 ст. №2 проводились представителями ООО «Леноблтеплоснаб» в ноябре 2025 года в соответствии с программой проведения режимно-наладочных работ.</w:t>
      </w:r>
    </w:p>
    <w:p>
      <w:pPr>
        <w:spacing w:after="20" w:before="0"/>
        <w:ind w:firstLine="709"/>
      </w:pPr>
      <w:r>
        <w:rPr>
          <w:b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природного газа, разработка режимной карты.</w:t>
      </w:r>
    </w:p>
    <w:p>
      <w:pPr>
        <w:spacing w:after="40" w:before="0"/>
      </w:pPr>
      <w:r>
        <w:rPr>
          <w:b/>
        </w:rPr>
        <w:t>Объем работ</w:t>
      </w:r>
    </w:p>
    <w:p>
      <w:pPr>
        <w:spacing w:after="40" w:before="0"/>
        <w:ind w:firstLine="709"/>
      </w:pPr>
      <w:r>
        <w:rPr>
          <w:b w:val="0"/>
        </w:rPr>
        <w:t>В объем работ входили следующие мероприятия:</w:t>
      </w:r>
    </w:p>
    <w:p>
      <w:pPr>
        <w:spacing w:after="20" w:before="0"/>
        <w:ind w:firstLine="709"/>
      </w:pPr>
      <w:r>
        <w:rPr>
          <w:b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 w:before="0"/>
        <w:ind w:firstLine="709"/>
      </w:pPr>
      <w:r>
        <w:rPr>
          <w:b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 w:before="0"/>
        <w:ind w:firstLine="709"/>
      </w:pPr>
      <w:r>
        <w:rPr>
          <w:b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 w:before="0"/>
        <w:ind w:firstLine="709"/>
      </w:pPr>
      <w:r>
        <w:rPr>
          <w:b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 w:before="0"/>
        <w:ind w:firstLine="709"/>
      </w:pPr>
      <w:r>
        <w:rPr>
          <w:b w:val="0"/>
        </w:rPr>
        <w:t>–  проверка работы и настройка автоматики безопасности;</w:t>
      </w:r>
    </w:p>
    <w:p>
      <w:pPr>
        <w:spacing w:after="20" w:before="0"/>
        <w:ind w:firstLine="709"/>
      </w:pPr>
      <w:r>
        <w:rPr>
          <w:b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 w:before="0"/>
        <w:jc w:val="center"/>
      </w:pPr>
      <w:r>
        <w:rPr>
          <w:b/>
        </w:rPr>
        <w:t>2. Краткая техническая характеристика оборудования</w:t>
      </w:r>
    </w:p>
    <w:p>
      <w:pPr>
        <w:spacing w:after="20" w:before="0"/>
        <w:ind w:firstLine="709"/>
      </w:pPr>
      <w:r>
        <w:rPr>
          <w:b w:val="0"/>
        </w:rPr>
        <w:t>Котельная по адресу: г. Новая Ладога, ул. Луначарского, д. 4 предназначена для покрытия тепловых нагрузок жилых и общественных зданий. В котельной эксплуатируется котлов — 2: ст. №1 (Турботерм 250, дизельное топливо/природный газ); ст. №2 (Турботерм 250, дизельное топливо/природный газ).</w:t>
      </w:r>
    </w:p>
    <w:p>
      <w:pPr>
        <w:spacing w:after="20" w:before="0"/>
        <w:ind w:firstLine="709"/>
      </w:pPr>
      <w:r>
        <w:rPr>
          <w:b w:val="0"/>
        </w:rPr>
        <w:t>Испытания проводились на котле Турботерм 250 ст. №2 при работе на природном газе. Техническая характеристика котла приведена в таблице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Наименование величин</w:t>
            </w:r>
          </w:p>
        </w:tc>
        <w:tc>
          <w:tcPr>
            <w:tcW w:type="dxa" w:w="2546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Ед. изм.</w:t>
            </w:r>
          </w:p>
        </w:tc>
        <w:tc>
          <w:tcPr>
            <w:tcW w:type="dxa" w:w="2557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Тип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Турботерм 250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Номинальная теплопроизводительность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МВт / Гкал/ч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0,2 / 0,17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воды на выходе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Рабочее давление воды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Номинальный расход воды через котел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т/ч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Гидравлическое сопротивление котла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кгс/см²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0,4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Температура уходящих газов (расчётная)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°C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180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КПД (расчётный)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%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</w:tr>
      <w:tr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Вид топлива</w:t>
            </w:r>
          </w:p>
        </w:tc>
        <w:tc>
          <w:tcPr>
            <w:tcW w:type="dxa" w:w="2546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–</w:t>
            </w:r>
          </w:p>
        </w:tc>
        <w:tc>
          <w:tcPr>
            <w:tcW w:type="dxa" w:w="2557"/>
          </w:tcPr>
          <w:p>
            <w:pPr>
              <w:spacing w:after="0" w:before="0"/>
            </w:pPr>
            <w:r/>
            <w:r>
              <w:rPr>
                <w:rFonts w:ascii="Times New Roman" w:hAnsi="Times New Roman"/>
                <w:b w:val="0"/>
                <w:sz w:val="24"/>
              </w:rPr>
              <w:t>природный газ</w:t>
            </w:r>
          </w:p>
        </w:tc>
      </w:tr>
    </w:tbl>
    <w:p>
      <w:pPr>
        <w:spacing w:after="20" w:before="0"/>
        <w:ind w:firstLine="709"/>
      </w:pPr>
      <w:r>
        <w:rPr>
          <w:b w:val="0"/>
        </w:rPr>
        <w:t>Котёл оборудован горелкой типа GKP-26.21H.</w:t>
      </w:r>
    </w:p>
    <w:p>
      <w:pPr>
        <w:spacing w:after="20" w:before="0"/>
        <w:ind w:firstLine="709"/>
      </w:pPr>
      <w:r>
        <w:rPr>
          <w:b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 w:before="0"/>
        <w:ind w:firstLine="709"/>
      </w:pPr>
      <w:r>
        <w:rPr>
          <w:b w:val="0"/>
        </w:rPr>
        <w:t>Расход топлива на котёл определяется по показаниям газового счётчика.</w:t>
      </w:r>
    </w:p>
    <w:p>
      <w:pPr>
        <w:spacing w:after="40" w:before="0"/>
        <w:jc w:val="center"/>
      </w:pPr>
      <w:r>
        <w:rPr>
          <w:b/>
        </w:rPr>
        <w:t>3. Программа проведения наладочных работ</w:t>
      </w:r>
    </w:p>
    <w:p>
      <w:pPr>
        <w:spacing w:after="20" w:before="0"/>
        <w:ind w:firstLine="709"/>
      </w:pPr>
      <w:r>
        <w:rPr>
          <w:b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 w:before="0"/>
        <w:jc w:val="center"/>
      </w:pPr>
      <w:r>
        <w:rPr>
          <w:b/>
        </w:rPr>
        <w:t>4. Методика проведения испытаний</w:t>
      </w:r>
    </w:p>
    <w:p>
      <w:pPr>
        <w:spacing w:after="20" w:before="0"/>
        <w:ind w:firstLine="709"/>
      </w:pPr>
      <w:r>
        <w:rPr>
          <w:b w:val="0"/>
        </w:rPr>
        <w:t>Испытания котла проводились в соответствии с методикой режимно-наладочных испытаний ООО «Леноблтеплоснаб», основанной на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 w:before="0"/>
      </w:pPr>
      <w:r>
        <w:rPr>
          <w:b/>
        </w:rPr>
        <w:t>4.1. Топливо</w:t>
      </w:r>
    </w:p>
    <w:p>
      <w:pPr>
        <w:spacing w:after="20" w:before="0"/>
        <w:ind w:firstLine="709"/>
      </w:pPr>
      <w:r>
        <w:rPr>
          <w:b w:val="0"/>
        </w:rPr>
        <w:t>Природный газ. Химический состав и теплота сгорания — по паспортам качества поставщика (лабораторным данным); расход — по показаниям газового счётчика с приведением к нормальным условиям (20 °C, 760 мм рт. ст.); давление газа перед счётчиком и горелкой — по штатным приборам у котла.</w:t>
      </w:r>
    </w:p>
    <w:p>
      <w:pPr>
        <w:spacing w:after="40" w:before="0"/>
      </w:pPr>
      <w:r>
        <w:rPr>
          <w:b/>
        </w:rPr>
        <w:t>4.2. Теплоноситель и воздушный тракт</w:t>
      </w:r>
    </w:p>
    <w:p>
      <w:pPr>
        <w:spacing w:after="20" w:before="0"/>
        <w:ind w:firstLine="709"/>
      </w:pPr>
      <w:r>
        <w:rPr>
          <w:b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 w:before="0"/>
        <w:ind w:firstLine="709"/>
      </w:pPr>
      <w:r>
        <w:rPr>
          <w:b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40" w:before="0"/>
      </w:pPr>
      <w:r>
        <w:rPr>
          <w:b/>
        </w:rPr>
        <w:t>4.3. Продукты сгорания</w:t>
      </w:r>
    </w:p>
    <w:p>
      <w:pPr>
        <w:spacing w:after="20" w:before="0"/>
        <w:ind w:firstLine="709"/>
      </w:pPr>
      <w:r>
        <w:rPr>
          <w:b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Testo-310-2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40" w:before="0"/>
      </w:pPr>
      <w:r>
        <w:rPr>
          <w:b/>
        </w:rPr>
        <w:t>4.4. Тепловой баланс</w:t>
      </w:r>
    </w:p>
    <w:p>
      <w:pPr>
        <w:spacing w:after="20" w:before="0"/>
        <w:ind w:firstLine="709"/>
      </w:pPr>
      <w:r>
        <w:rPr>
          <w:b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 w:before="0"/>
        <w:ind w:firstLine="709"/>
      </w:pPr>
      <w:r>
        <w:rPr>
          <w:b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 w:before="0"/>
        <w:ind w:firstLine="709"/>
      </w:pPr>
      <w:r>
        <w:rPr>
          <w:b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 w:before="0"/>
        <w:ind w:firstLine="709"/>
      </w:pPr>
      <w:r>
        <w:rPr>
          <w:b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 w:before="0"/>
        <w:jc w:val="center"/>
      </w:pPr>
      <w:r>
        <w:rPr>
          <w:b/>
        </w:rPr>
        <w:t>5. Условия проведения испытаний</w:t>
      </w:r>
    </w:p>
    <w:p>
      <w:pPr>
        <w:spacing w:after="20" w:before="0"/>
        <w:ind w:firstLine="709"/>
      </w:pPr>
      <w:r>
        <w:rPr>
          <w:b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 w:before="0"/>
        <w:ind w:firstLine="709"/>
      </w:pPr>
      <w:r>
        <w:rPr>
          <w:b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 w:before="0"/>
        <w:ind w:firstLine="709"/>
      </w:pPr>
      <w:r>
        <w:rPr>
          <w:b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 w:before="0"/>
        <w:ind w:firstLine="709"/>
      </w:pPr>
      <w:r>
        <w:rPr>
          <w:b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 w:before="0"/>
        <w:ind w:firstLine="709"/>
      </w:pPr>
      <w:r>
        <w:rPr>
          <w:b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 w:before="0"/>
        <w:jc w:val="center"/>
      </w:pPr>
      <w:r>
        <w:rPr>
          <w:b/>
        </w:rPr>
        <w:t>6. Результаты испытаний</w:t>
      </w:r>
    </w:p>
    <w:p>
      <w:pPr>
        <w:spacing w:after="20" w:before="0"/>
        <w:ind w:firstLine="709"/>
      </w:pPr>
      <w:r>
        <w:rPr>
          <w:b w:val="0"/>
        </w:rPr>
        <w:t>Результаты испытаний приведены в режимной карте (Приложение 1) и журнале замеров.</w:t>
      </w:r>
    </w:p>
    <w:p>
      <w:pPr>
        <w:spacing w:after="40" w:before="0"/>
        <w:ind w:firstLine="709"/>
      </w:pPr>
      <w:r>
        <w:rPr>
          <w:b w:val="0"/>
        </w:rPr>
        <w:t>6.1. Диапазон исследованных нагрузок составил: Q = 0,09–0,17 Гкал/ч (0,10–0,20 МВт) или 52–99 % от номинальной.</w:t>
      </w:r>
    </w:p>
    <w:p>
      <w:pPr>
        <w:spacing w:after="40" w:before="0"/>
        <w:ind w:firstLine="709"/>
      </w:pPr>
      <w:r>
        <w:rPr>
          <w:b w:val="0"/>
        </w:rPr>
        <w:t>6.2. Во всем диапазоне нагрузок, рекомендованных для эксплуатации, сжигание природного газа происходит без химического недожога (содержание CO в уходящих газах отсутствует).</w:t>
      </w:r>
    </w:p>
    <w:p>
      <w:pPr>
        <w:spacing w:after="40" w:before="0"/>
        <w:ind w:firstLine="709"/>
      </w:pPr>
      <w:r>
        <w:rPr>
          <w:b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40" w:before="0"/>
        <w:ind w:firstLine="709"/>
      </w:pPr>
      <w:r>
        <w:rPr>
          <w:b w:val="0"/>
        </w:rPr>
        <w:t>6.4. Температуры уходящих газов за котлом составили: tух = 120–155 °C.</w:t>
      </w:r>
    </w:p>
    <w:p>
      <w:pPr>
        <w:spacing w:after="40" w:before="0"/>
        <w:ind w:firstLine="709"/>
      </w:pPr>
      <w:r>
        <w:rPr>
          <w:b w:val="0"/>
        </w:rPr>
        <w:t>6.5. КПД котла «брутто» в диапазоне испытанных нагрузок составил: ηбр = 86,6–91,1 %.</w:t>
      </w:r>
    </w:p>
    <w:p>
      <w:pPr>
        <w:spacing w:after="40" w:before="0"/>
        <w:ind w:firstLine="709"/>
      </w:pPr>
      <w:r>
        <w:rPr>
          <w:b w:val="0"/>
        </w:rPr>
        <w:t>6.6. Средневзвешенный КПД «брутто» котла оказался равным: ηбр.ср = 88,8 %.</w:t>
      </w:r>
    </w:p>
    <w:p>
      <w:pPr>
        <w:spacing w:after="40" w:before="0"/>
        <w:ind w:firstLine="709"/>
      </w:pPr>
      <w:r>
        <w:rPr>
          <w:b w:val="0"/>
        </w:rPr>
        <w:t>6.7. Потери тепла на собственные нужды котла принимаются равными 1 %. Среднеэксплуатационный КПД «нетто» составит: ηнт = 88,8 – 1 = 87,8 %.</w:t>
      </w:r>
    </w:p>
    <w:p>
      <w:pPr>
        <w:spacing w:after="40" w:before="0"/>
        <w:ind w:firstLine="709"/>
      </w:pPr>
      <w:r>
        <w:rPr>
          <w:b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 w:before="0"/>
        <w:ind w:firstLine="709"/>
      </w:pPr>
      <w:r>
        <w:rPr>
          <w:b w:val="0"/>
        </w:rPr>
        <w:t>bу = 162,7 кг у.т./Гкал.</w:t>
      </w:r>
    </w:p>
    <w:p>
      <w:pPr>
        <w:spacing w:after="40" w:before="0"/>
        <w:ind w:firstLine="709"/>
      </w:pPr>
      <w:r>
        <w:rPr>
          <w:b w:val="0"/>
        </w:rPr>
        <w:t>6.9. Расход природного газа при работе котла в режимах по режимной карте — от 12 до 24 м³/ч.</w:t>
      </w:r>
    </w:p>
    <w:p>
      <w:pPr>
        <w:spacing w:after="40" w:before="0"/>
        <w:jc w:val="center"/>
      </w:pPr>
      <w:r>
        <w:rPr>
          <w:b/>
        </w:rPr>
        <w:t>7. Выводы и рекомендации</w:t>
      </w:r>
    </w:p>
    <w:p>
      <w:pPr>
        <w:spacing w:after="40" w:before="0"/>
      </w:pPr>
      <w:r>
        <w:rPr>
          <w:b/>
        </w:rPr>
        <w:t>Выводы</w:t>
      </w:r>
    </w:p>
    <w:p>
      <w:pPr>
        <w:spacing w:after="40" w:before="0"/>
        <w:ind w:firstLine="709"/>
      </w:pPr>
      <w:r>
        <w:rPr>
          <w:b w:val="0"/>
        </w:rPr>
        <w:t>7.1. Котёл устойчиво и надёжно работает в диапазоне нагрузок, рекомендованных в режимной карте (52–99 % от номинальной).</w:t>
      </w:r>
    </w:p>
    <w:p>
      <w:pPr>
        <w:spacing w:after="40" w:before="0"/>
        <w:ind w:firstLine="709"/>
      </w:pPr>
      <w:r>
        <w:rPr>
          <w:b w:val="0"/>
        </w:rPr>
        <w:t>7.2. Максимальная нагрузка котла при испытаниях составила: Q = 0,17 Гкал/ч (99 % от номинальной).</w:t>
      </w:r>
    </w:p>
    <w:p>
      <w:pPr>
        <w:spacing w:after="40" w:before="0"/>
        <w:ind w:firstLine="709"/>
      </w:pPr>
      <w:r>
        <w:rPr>
          <w:b w:val="0"/>
        </w:rPr>
        <w:t>7.3. КПД котла «брутто» в зависимости от нагрузки составил: 86,6–91,1 %; средневзвешенный КПД «брутто» — 88,8 %.</w:t>
      </w:r>
    </w:p>
    <w:p>
      <w:pPr>
        <w:spacing w:after="40" w:before="0"/>
        <w:ind w:firstLine="709"/>
      </w:pPr>
      <w:r>
        <w:rPr>
          <w:b w:val="0"/>
        </w:rPr>
        <w:t>7.4. Среднеэксплуатационный КПД «нетто» составил: 87,8 %.</w:t>
      </w:r>
    </w:p>
    <w:p>
      <w:pPr>
        <w:spacing w:after="40" w:before="0"/>
        <w:ind w:firstLine="709"/>
      </w:pPr>
      <w:r>
        <w:rPr>
          <w:b w:val="0"/>
        </w:rPr>
        <w:t>7.5. Удельный расход условного топлива оказался на уровне: bу = 162,7 кг у.т./Гкал.</w:t>
      </w:r>
    </w:p>
    <w:p>
      <w:pPr>
        <w:spacing w:after="40" w:before="0"/>
      </w:pPr>
      <w:r>
        <w:rPr>
          <w:b/>
        </w:rPr>
        <w:t>Рекомендации</w:t>
      </w:r>
    </w:p>
    <w:p>
      <w:pPr>
        <w:spacing w:after="40" w:before="0"/>
        <w:ind w:firstLine="709"/>
      </w:pPr>
      <w:r>
        <w:rPr>
          <w:b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 w:before="0"/>
        <w:ind w:firstLine="709"/>
      </w:pPr>
      <w:r>
        <w:rPr>
          <w:b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 w:before="0"/>
        <w:ind w:firstLine="709"/>
      </w:pPr>
      <w:r>
        <w:rPr>
          <w:b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 w:before="0"/>
        <w:ind w:firstLine="709"/>
      </w:pPr>
      <w:r>
        <w:rPr>
          <w:b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 w:before="0"/>
        <w:jc w:val="center"/>
      </w:pPr>
      <w:r>
        <w:rPr>
          <w:b/>
        </w:rPr>
        <w:t>8. Литература</w:t>
      </w:r>
    </w:p>
    <w:p>
      <w:pPr>
        <w:spacing w:after="20" w:before="0"/>
        <w:ind w:firstLine="709"/>
      </w:pPr>
      <w:r>
        <w:rPr>
          <w:b w:val="0"/>
        </w:rPr>
        <w:t>8.1. Тепловой расчет котельных агрегатов. Нормативный метод. «Энергия».</w:t>
      </w:r>
    </w:p>
    <w:p>
      <w:pPr>
        <w:spacing w:after="20" w:before="0"/>
        <w:ind w:firstLine="709"/>
      </w:pPr>
      <w:r>
        <w:rPr>
          <w:b w:val="0"/>
        </w:rPr>
        <w:t>8.2. М.Б. Равич. «Топливо и эффективность его использования». «Наука», М.</w:t>
      </w:r>
    </w:p>
    <w:p>
      <w:pPr>
        <w:spacing w:after="20" w:before="0"/>
        <w:ind w:firstLine="709"/>
      </w:pPr>
      <w:r>
        <w:rPr>
          <w:b w:val="0"/>
        </w:rPr>
        <w:t>8.3. Правила технической эксплуатации тепловых энергоустановок.</w:t>
      </w:r>
    </w:p>
    <w:p>
      <w:pPr>
        <w:spacing w:after="20" w:before="0"/>
        <w:ind w:firstLine="709"/>
      </w:pPr>
      <w:r>
        <w:rPr>
          <w:b w:val="0"/>
        </w:rPr>
        <w:t>8.4. Д.Я. Борщёв. Устройство и эксплуатация отопительных котельных малой мощности.</w:t>
      </w:r>
    </w:p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4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