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2026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водогрейного котла типа КВГМ 2,5-95 ст. №2,</w:t>
      </w:r>
    </w:p>
    <w:p>
      <w:pPr>
        <w:spacing w:after="40" w:before="0"/>
        <w:jc w:val="center"/>
      </w:pPr>
      <w:r>
        <w:rPr>
          <w:b w:val="0"/>
        </w:rPr>
        <w:t>работающего на природном газе,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с. Старая Ладога, ул. Советская 30,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2026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водогрейного котла типа КВГМ 2,5-95 ст. №2 при сжигании природного газа в котельной по адресу: с. Старая Ладога, ул. Советская 30,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20" w:before="0"/>
      </w:pPr>
      <w:r>
        <w:rPr>
          <w:b w:val="0"/>
        </w:rPr>
        <w:t>Приложение 2. Карта настройки автоматики безопасности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КВГМ 2,5-95 ст. №2 проводились представителями ООО «Леноблтеплоснаб» в феврале 2026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и настройка автоматики безопасности;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с. Старая Ладога, ул. Советская 30 предназначена для покрытия тепловых нагрузок жилых и общественных зданий. В котельной эксплуатируется котлов — 3: ст. №1 (КВГМ 2,5-95, природный газ); ст. №2 (КВГМ 2,5-95, природный газ); ст. №3 (КВГМ-1,6-95, природный газ).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КВГМ 2,5-95 ст. №2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КВГМ 2,5-95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Номинальная теплопроизводительность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МВт / Гкал/ч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2,5 / 2,15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выходе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Рабочее давление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Номинальный расход воды через котел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Гидравлическое сопротивление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160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природный газ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Котёл оборудован горелкой типа R92А CIB UNIGAS.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по показаниям газового счётчика.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Q = 0,60–2,06 Гкал/ч (0,70–2,40 МВт) или 28–96 %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отсутствует).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1,3–1,15.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120–155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84,1–90,5 %.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87,3 %.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87,3 – 1 = 86,3 %.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165,5 кг у.т./Гкал.</w:t>
      </w:r>
    </w:p>
    <w:p>
      <w:pPr>
        <w:spacing w:after="40" w:before="0"/>
        <w:ind w:firstLine="709"/>
      </w:pPr>
      <w:r>
        <w:rPr>
          <w:b w:val="0"/>
        </w:rPr>
        <w:t>6.9. Расход природного газа при работе котла в режимах по режимной карте — от 87 до 277 м³/ч.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(28–96 %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Q = 2,06 Гкал/ч (96 %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84,1–90,5 %; средневзвешенный КПД «брутто» — 87,3 %.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86,3 %.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165,5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