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19.03.2026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парового котла типа ДКВР-10/13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парового котла типа ДКВР-10/13 ст. №1 при сжигании природного газа в котельной по адресу: г. Новая Ладога, ул. Суворова, д. 79,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ДКВР-10/13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эксплуатируется котлов — 3: ст. №1 (ДКВР-10/13, природный газ/мазут); ст. №2 (ДКВР-10/13, природный газ/мазут); ст. №4 (КВГМ 20-150, природный газ/мазут).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ДКВР-10/13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ДКВР-10/13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Паропроизводительность номинальная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Давление пара рабочее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пара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194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питательной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280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ГМГ-5м.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дымососом.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Давление и температура пара, питательной воды — по штатным приборам; паропроизводительность — по расходу пара (питательной воды).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D·(iпп – iпв)·10⁻³, Гкал/ч, где D — паропроизводительность, т/ч; iпп, iпв — энтальпии пара и питательной воды, ккал/кг.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D = 5–10 т/ч (Q = 1,95–5,20 Гкал/ч) или 37–98 %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1,67–1,4.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220–275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64,9–84,9 %.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74,9 %.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74,9 – 1 = 73,9 %.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193,3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373 до 760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(37–98 %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D = 10 т/ч (Q = 5,2 Гкал/ч; 98 %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64,9–84,9 %; средневзвешенный КПД «брутто» — 74,9 %.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73,9 %.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193,3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