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26.03.2026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20-150 ст. №4,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20-150 ст. №4 при сжигании мазута в котельной по адресу: г. Новая Ладога, ул. Суворова, д. 79,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20-150 ст. №4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эксплуатируется котлов — 3: ст. №1 (ДКВР-10/13, природный газ/мазут); ст. №2 (ДКВР-10/13, природный газ/мазут); ст. №4 (КВГМ 20-150, природный газ/мазут).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20-150 ст. №4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20-150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23,3 / 20,04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247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225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РГМГ-20п.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удаление дымовых газов — дымососом.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6,17–19,76 Гкал/ч (7,18–22,98 МВт) или 31–99 %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1,55–1,33.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220–235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83,5–86,7 %.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85,1 %.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85,1 – 1 = 84,1 %.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169,9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740 до 2460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(31–99 %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19,76 Гкал/ч (99 %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83,5–86,7 %; средневзвешенный КПД «брутто» — 85,1 %.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84,1 %.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169,9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