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06.02.2026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КВГМ-1,6-95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Старая Ладога, пр. Волховский, 12а,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КВГМ-1,6-95 ст. №2 при сжигании природного газа в котельной по адресу: с. Старая Ладога, пр. Волховский, 12а,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КВГМ-1,6-95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Старая Ладога, пр. Волховский, 12а предназначена для покрытия тепловых нагрузок жилых и общественных зданий. В котельной эксплуатируется котлов — 2: ст. №1 (КВГМ-1,6-95, природный газ); ст. №2 (КВГМ-1,6-95,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КВГМ-1,6-95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КВГМ-1,6-95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1,6 / 1,38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R91А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0,6–1,26 Гкал/ч (0,70–1,47 МВт) или 44–92 %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87,5–92,0 %.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89,8 %.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89,8 – 1 = 88,8 %.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160,9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84 до 167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(44–92 %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1,26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87,5–92,0 %; средневзвешенный КПД «брутто» — 89,8 %.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88,8 %.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160,9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