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19.03.2026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парового котла типа ДКВР-10/13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парового котла типа ДКВР-10/13 ст. №2 при сжигании природного газа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ДКВР-10/13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ДКВР-10/13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ДКВР-10/13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Паропроизводительность номинальная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Давление пара рабочее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пара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194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питательной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280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ГМГ-5м.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Давление и температура пара, питательной воды — по штатным приборам; паропроизводительность — по расходу пара (питательной воды).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D·(iпп – iпв)·10⁻³, Гкал/ч, где D — паропроизводительность, т/ч; iпп, iпв — энтальпии пара и питательной воды, ккал/кг.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D = 5,2–10 т/ч (Q = 1,68–5,16 Гкал/ч) или 32–97 %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1,54–1,45.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225–277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56,6–84,5 %.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70,6 %.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70,6 – 1 = 69,6 %.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205,3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368 до 758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(32–97 %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D = 10 т/ч (Q = 5,16 Гкал/ч; 97 %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56,6–84,5 %; средневзвешенный КПД «брутто» — 70,6 %.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69,6 %.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205,3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