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29.12.2025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мазут/природный газ); ст. №2 (КВГМ 2,5-95, мазут/природный газ); ст. №3 (КВГМ 2,5-95,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Горелочное устройство — в соответствии с паспортом котла.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113–148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83,2–92,4 %.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87,8 %.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87,8 – 1 = 86,8 %.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164,6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113 до 260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83,2–92,4 %; средневзвешенный КПД «брутто» — 87,8 %.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86,8 %.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164,6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