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pPr>
              <w:jc w:val="left"/>
            </w:pPr>
            <w:r>
              <w:rPr>
                <w:sz w:val="24"/>
              </w:rPr>
              <w:t>«УТВЕРЖДАЮ»</w:t>
            </w:r>
          </w:p>
          <w:p>
            <w:pPr>
              <w:jc w:val="left"/>
            </w:pPr>
            <w:r>
              <w:rPr>
                <w:sz w:val="24"/>
              </w:rPr>
              <w:t>Заместитель Генерального директора</w:t>
            </w:r>
          </w:p>
          <w:p>
            <w:pPr>
              <w:jc w:val="left"/>
            </w:pPr>
            <w:r>
              <w:rPr>
                <w:sz w:val="24"/>
              </w:rPr>
              <w:t>Главный инженер</w:t>
            </w:r>
          </w:p>
          <w:p>
            <w:pPr>
              <w:jc w:val="left"/>
            </w:pPr>
            <w:r>
              <w:rPr>
                <w:sz w:val="24"/>
              </w:rPr>
              <w:t>ООО «Леноблтеплоснаб»</w:t>
            </w:r>
          </w:p>
          <w:p>
            <w:pPr>
              <w:jc w:val="left"/>
            </w:pPr>
            <w:r>
              <w:rPr>
                <w:sz w:val="24"/>
              </w:rPr>
              <w:t>_______________________ Степанов А.В.</w:t>
            </w:r>
          </w:p>
          <w:p>
            <w:pPr>
              <w:jc w:val="left"/>
            </w:pPr>
            <w:r>
              <w:rPr>
                <w:sz w:val="24"/>
              </w:rPr>
              <w:t>«_____» _______________ 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8"/>
        </w:rPr>
        <w:t>ПРОГРАММА</w:t>
      </w:r>
    </w:p>
    <w:p>
      <w:pPr>
        <w:spacing w:after="480"/>
        <w:jc w:val="center"/>
      </w:pPr>
      <w:r>
        <w:rPr>
          <w:b w:val="0"/>
          <w:i w:val="0"/>
          <w:sz w:val="26"/>
        </w:rPr>
        <w:t>проведения режимно-наладочных работ на водогрейных и паровых котлах, эксплуатируемых в котельных ООО «Леноблтеплоснаб» (Волховский район Ленинградской области), при работе на природном газе, мазуте, угле и дизельном топливе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г. 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8"/>
        </w:rPr>
        <w:t>1. Общие положения</w:t>
      </w:r>
    </w:p>
    <w:p>
      <w:pPr>
        <w:spacing w:after="120"/>
        <w:ind w:firstLine="709"/>
      </w:pPr>
      <w:r>
        <w:rPr>
          <w:b w:val="0"/>
          <w:i w:val="0"/>
        </w:rPr>
        <w:t>1.1. Основанием для проведения режимно-наладочных работ (далее — РНР) является договор на выполнение режимно-наладочных работ и/или наступление планового срока проведения наладки (периодичность — не реже одного раза в 3–5 лет, а также после капитального ремонта, реконструкции котла, замены горелочных устройств или вида топлива).</w:t>
      </w:r>
    </w:p>
    <w:p>
      <w:pPr>
        <w:spacing w:after="120"/>
        <w:ind w:firstLine="709"/>
      </w:pPr>
      <w:r>
        <w:rPr>
          <w:b w:val="0"/>
          <w:i w:val="0"/>
        </w:rPr>
        <w:t>1.2. Программа является универсальной и распространяется на все котлы, эксплуатируемые в котельных ООО «Леноблтеплоснаб»: водогрейные котлы типов КВГМ, КВ-ГМ, КВа, КВр, КВм, Турботерм, Ставан, НИИСТУ-5, Универсал и паровые котлы типа ДКВР — при работе на любом из видов топлива: природном газе, мазуте, угле, дизельном топливе.</w:t>
      </w:r>
    </w:p>
    <w:p>
      <w:pPr>
        <w:spacing w:after="120"/>
        <w:ind w:firstLine="709"/>
      </w:pPr>
      <w:r>
        <w:rPr>
          <w:b w:val="0"/>
          <w:i w:val="0"/>
        </w:rPr>
        <w:t>1.3. Заказчик обеспечивает допуск для производства работ, предоставление всей необходимой технической документации (паспорта котлов, горелок, предыдущие режимные карты и отчёты, паспорта качества топлива), подготовку оборудования к испытаниям.</w:t>
      </w:r>
    </w:p>
    <w:p>
      <w:pPr>
        <w:spacing w:after="120"/>
        <w:ind w:firstLine="709"/>
      </w:pPr>
      <w:r>
        <w:rPr>
          <w:b w:val="0"/>
          <w:i w:val="0"/>
        </w:rPr>
        <w:t>1.4. К проведению работ привлекаются специалисты наладочной организации (подразделения), аттестованные в установленном порядке. Работы выполняются совместно с эксплуатационным персоналом котельной.</w:t>
      </w:r>
    </w:p>
    <w:p>
      <w:pPr>
        <w:spacing w:after="240"/>
        <w:jc w:val="center"/>
      </w:pPr>
      <w:r>
        <w:rPr>
          <w:b/>
          <w:i w:val="0"/>
          <w:sz w:val="28"/>
        </w:rPr>
        <w:t>2. Цель работ</w:t>
      </w:r>
    </w:p>
    <w:p>
      <w:pPr>
        <w:spacing w:after="120"/>
        <w:ind w:firstLine="709"/>
      </w:pPr>
      <w:r>
        <w:rPr>
          <w:b w:val="0"/>
          <w:i w:val="0"/>
        </w:rPr>
        <w:t>2.1. Выявление оптимальных режимов работы котла во всём диапазоне эксплуатационных нагрузок с определением технико-экономических показателей (КПД, удельного расхода топлива), обеспечение надёжной и безопасной работы котлоагрегата, разработка режимных карт и выдача технического отчёта по результатам испытаний.</w:t>
      </w:r>
    </w:p>
    <w:p>
      <w:pPr>
        <w:spacing w:after="120"/>
        <w:ind w:firstLine="709"/>
      </w:pPr>
      <w:r>
        <w:rPr>
          <w:b w:val="0"/>
          <w:i w:val="0"/>
        </w:rPr>
        <w:t>2.2. В процессе работ определяются:</w:t>
      </w:r>
    </w:p>
    <w:p>
      <w:pPr>
        <w:spacing w:after="40"/>
        <w:ind w:firstLine="709"/>
      </w:pPr>
      <w:r>
        <w:rPr>
          <w:b w:val="0"/>
          <w:i w:val="0"/>
        </w:rPr>
        <w:t>диапазон устойчивой работы котла на минимальной, промежуточных и максимальной нагрузках;</w:t>
      </w:r>
    </w:p>
    <w:p>
      <w:pPr>
        <w:spacing w:after="40"/>
        <w:ind w:firstLine="709"/>
      </w:pPr>
      <w:r>
        <w:rPr>
          <w:b w:val="0"/>
          <w:i w:val="0"/>
        </w:rPr>
        <w:t>оптимальные избытки воздуха (коэффициент избытка воздуха α) на каждой нагрузке;</w:t>
      </w:r>
    </w:p>
    <w:p>
      <w:pPr>
        <w:spacing w:after="40"/>
        <w:ind w:firstLine="709"/>
      </w:pPr>
      <w:r>
        <w:rPr>
          <w:b w:val="0"/>
          <w:i w:val="0"/>
        </w:rPr>
        <w:t>состав уходящих газов (O₂, CO₂, CO, NOₓ, SO₂) и температура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(q₂), от химической неполноты сгорания (q₃), в окружающую среду (q₅);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и «нетто», удельный расход условного топлива;</w:t>
      </w:r>
    </w:p>
    <w:p>
      <w:pPr>
        <w:spacing w:after="40"/>
        <w:ind w:firstLine="709"/>
      </w:pPr>
      <w:r>
        <w:rPr>
          <w:b w:val="0"/>
          <w:i w:val="0"/>
        </w:rPr>
        <w:t>настройки приборов контроля и автоматики безопасности.</w:t>
      </w:r>
    </w:p>
    <w:p>
      <w:pPr>
        <w:spacing w:after="240"/>
        <w:jc w:val="center"/>
      </w:pPr>
      <w:r>
        <w:rPr>
          <w:b/>
          <w:i w:val="0"/>
          <w:sz w:val="28"/>
        </w:rPr>
        <w:t>3. Объекты испытаний</w:t>
      </w:r>
    </w:p>
    <w:p>
      <w:pPr>
        <w:spacing w:after="120"/>
        <w:ind w:firstLine="709"/>
      </w:pPr>
      <w:r>
        <w:rPr>
          <w:b w:val="0"/>
          <w:i w:val="0"/>
        </w:rPr>
        <w:t>3.1. Объектами испытаний являются стационарные котельные агрегаты котельных ООО «Леноблтеплоснаб», расположенных в населённых пунктах Волховского района Ленинградской области (Аврово, Бережки, Вындин Остров, Иссад, Иссад ЛТЦ, Кисельня, Колчаново, Новая Ладога, Паша, Потанино, Свирица, Селиваново, Старая Ладога, Усадище, Хвалово, Юги).</w:t>
      </w:r>
    </w:p>
    <w:p>
      <w:pPr>
        <w:spacing w:after="80"/>
        <w:ind w:firstLine="709"/>
      </w:pPr>
      <w:r>
        <w:rPr>
          <w:b w:val="0"/>
          <w:i w:val="0"/>
        </w:rPr>
        <w:t>3.2. Виды сжигаемого топлива и особенности испытаний: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Вид топлива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Особенности проведения испытаний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Контролируемые дополнительно параметры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Испытания при работе газовых горелочных устройств (CIB UNIGAS, Baltur, Ecoflam, ЕММА-С3 «Прома», «Бернард» и др.) на малом и большом горении; тарировка газовой линии.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газа перед счётчиком и горелкой; положение газовой и воздушной заслонок; концентрация O₂/CO₂/CO/NOₓ; содержание метана в уходящих газах.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Испытания при работе мазутных форсунок/горелок (РГМГ и др.); контроль подогрева мазута перед форсунками; проверка качества распыливания.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и вязкость мазута на горение; давление мазута перед форсункой; температура уходящих газов; содержания RO₂, O₂, CO, NOₓ, SO₂.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Испытания при работе полумеханических/ручных топок (КВр, НИИСТУ-5, Универсал); контроль топливоподачи и шуровки слоя; контроль золоудаления.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Фракционный состав, влажность и зольность топлива; расход угля взвешиванием; давление первичного/вторичного воздуха; разрежение в топке и за котлом.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Дизельное топливо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Испытания при работе дизельных горелочных устройств (Ecoflam, Baltur и др.); контроль топливного тракта от расходного бака до форсунки.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топлива перед форсункой; расход по счётчику/уровнемеру; состав уходящих газов (O₂, CO₂, CO, NOₓ).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3.3. Испытаниям подвергается каждый котёл на каждом виде топлива, на котором он эксплуатируется (основное и резервное топливо).</w:t>
      </w:r>
    </w:p>
    <w:p>
      <w:pPr>
        <w:spacing w:after="240"/>
        <w:jc w:val="center"/>
      </w:pPr>
      <w:r>
        <w:rPr>
          <w:b/>
          <w:i w:val="0"/>
          <w:sz w:val="28"/>
        </w:rPr>
        <w:t>4. Программа работ</w:t>
      </w:r>
    </w:p>
    <w:p>
      <w:pPr>
        <w:spacing w:after="80"/>
        <w:ind w:firstLine="709"/>
      </w:pPr>
      <w:r>
        <w:rPr>
          <w:b w:val="0"/>
          <w:i w:val="0"/>
        </w:rPr>
        <w:t>4.1. Подготовительные работы:</w:t>
      </w:r>
    </w:p>
    <w:p>
      <w:pPr>
        <w:spacing w:after="40"/>
        <w:ind w:firstLine="709"/>
      </w:pPr>
      <w:r>
        <w:rPr>
          <w:b w:val="0"/>
          <w:i w:val="0"/>
        </w:rPr>
        <w:t>– ознакомление с технической документацией котла и вспомогательного оборудования,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наружный и внутренний осмотр котла, поверхностей нагрева, обмуровки, изоляции, газоходов; составление перечня замечаний и мероприятий по их устранению;</w:t>
      </w:r>
    </w:p>
    <w:p>
      <w:pPr>
        <w:spacing w:after="40"/>
        <w:ind w:firstLine="709"/>
      </w:pPr>
      <w:r>
        <w:rPr>
          <w:b w:val="0"/>
          <w:i w:val="0"/>
        </w:rPr>
        <w:t>– проверка состояния контрольно-измерительных приборов, автоматики регулирования и безопасности, проверка её работы;</w:t>
      </w:r>
    </w:p>
    <w:p>
      <w:pPr>
        <w:spacing w:after="40"/>
        <w:ind w:firstLine="709"/>
      </w:pPr>
      <w:r>
        <w:rPr>
          <w:b w:val="0"/>
          <w:i w:val="0"/>
        </w:rPr>
        <w:t>– согласование с заказчиком сроков, количества испытываемых нагрузок, диапазона регулирования и порядка переключений;</w:t>
      </w:r>
    </w:p>
    <w:p>
      <w:pPr>
        <w:spacing w:after="40"/>
        <w:ind w:firstLine="709"/>
      </w:pPr>
      <w:r>
        <w:rPr>
          <w:b w:val="0"/>
          <w:i w:val="0"/>
        </w:rPr>
        <w:t>– составление схемы измерений, подготовка и проверка дополнительных (переносных) приборов;</w:t>
      </w:r>
    </w:p>
    <w:p>
      <w:pPr>
        <w:spacing w:after="80"/>
        <w:ind w:firstLine="709"/>
      </w:pPr>
      <w:r>
        <w:rPr>
          <w:b w:val="0"/>
          <w:i w:val="0"/>
        </w:rPr>
        <w:t>4.2. Режимно-наладочные испытания:</w:t>
      </w:r>
    </w:p>
    <w:p>
      <w:pPr>
        <w:spacing w:after="40"/>
        <w:ind w:firstLine="709"/>
      </w:pPr>
      <w:r>
        <w:rPr>
          <w:b w:val="0"/>
          <w:i w:val="0"/>
        </w:rPr>
        <w:t>– включение котла в работу после устранения замечаний (розжиг и разогрев не менее суток для котлов в холодном состоянии);</w:t>
      </w:r>
    </w:p>
    <w:p>
      <w:pPr>
        <w:spacing w:after="40"/>
        <w:ind w:firstLine="709"/>
      </w:pPr>
      <w:r>
        <w:rPr>
          <w:b w:val="0"/>
          <w:i w:val="0"/>
        </w:rPr>
        <w:t>– тарировка сечений газоходов для определения представительных точек замера температур, разрежения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определение присосов холодного воздуха по газовому тракту котла и их устранение;</w:t>
      </w:r>
    </w:p>
    <w:p>
      <w:pPr>
        <w:spacing w:after="40"/>
        <w:ind w:firstLine="709"/>
      </w:pPr>
      <w:r>
        <w:rPr>
          <w:b w:val="0"/>
          <w:i w:val="0"/>
        </w:rPr>
        <w:t>– проведение прикидочных опытов для определения пределов регулирования, критических и оптимальных избытков воздуха на каждой нагрузке;</w:t>
      </w:r>
    </w:p>
    <w:p>
      <w:pPr>
        <w:spacing w:after="40"/>
        <w:ind w:firstLine="709"/>
      </w:pPr>
      <w:r>
        <w:rPr>
          <w:b w:val="0"/>
          <w:i w:val="0"/>
        </w:rPr>
        <w:t>– проведение основных балансовых опытов во всём диапазоне нагрузок (на минимальной, промежуточных и максимальной нагрузках, при 3–4 воздушных режимах на каждой нагрузке);</w:t>
      </w:r>
    </w:p>
    <w:p>
      <w:pPr>
        <w:spacing w:after="40"/>
        <w:ind w:firstLine="709"/>
      </w:pPr>
      <w:r>
        <w:rPr>
          <w:b w:val="0"/>
          <w:i w:val="0"/>
        </w:rPr>
        <w:t>– проверка и настройка автоматики безопасности по картам (заданиям) наладки;</w:t>
      </w:r>
    </w:p>
    <w:p>
      <w:pPr>
        <w:spacing w:after="40"/>
        <w:ind w:firstLine="709"/>
      </w:pPr>
      <w:r>
        <w:rPr>
          <w:b w:val="0"/>
          <w:i w:val="0"/>
        </w:rPr>
        <w:t>– обработка результатов испытаний, составление режимной карты и технического отчёта.</w:t>
      </w:r>
    </w:p>
    <w:p>
      <w:pPr>
        <w:spacing w:after="80"/>
        <w:ind w:firstLine="709"/>
      </w:pPr>
      <w:r>
        <w:rPr>
          <w:b w:val="0"/>
          <w:i w:val="0"/>
        </w:rPr>
        <w:t>4.3. Календарный план работ: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№ пп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Наименование работ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Условия проведения испытаний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Дата проведения работ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Наружный и внутренний осмотр котла и вспомогательного оборудования с составлением перечня замечаний и мероприятий по устранению выявленных дефектов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и охлаждение котла, доступ к осмотру топки, конвективной шахты и другого оборудования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Производится во всех случаях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Включение котла в работу после устранения замечаний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Разогрев котла в течение не менее суток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Проведение тарировки сечений газоходов котла для определения представительных точек замера температур, разрежения и состава уходящих газов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Работа котла на нагрузках, близких к номинальной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Определение присосов холодного воздуха по элементам газового тракта котла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Работа котла на номинальной нагрузке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Проведение режимно-наладочных работ с целью определения диапазона нагрузок и оптимального режима работы горелок (оптимальных избытков воздуха) на каждой нагрузке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Согласование режимов работ с руководством котельной. Проверка показаний приборов КИП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Количество промежуточных нагрузок определяется на основании сметы перед началом работ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Проведение балансовых опытов с оптимальными избытками воздуха во всём диапазоне нагрузок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Согласование проведения работ с руководством котельной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Проверка работы и настройка автоматики безопасности и противопожарных устройств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Работа котла на нагрузках, близких к номинальной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Разработка и выдача режимной карты работы котла и карты настройки автоматики безопасности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Составление и оформление технического отчёта по результатам испытаний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Начало: ___________</w:t>
              <w:br/>
              <w:t>Окончание: ___________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spacing w:after="240"/>
        <w:jc w:val="center"/>
      </w:pPr>
      <w:r>
        <w:rPr>
          <w:b/>
          <w:i w:val="0"/>
          <w:sz w:val="28"/>
        </w:rPr>
        <w:t>5. Методика измерений и расчётов</w:t>
      </w:r>
    </w:p>
    <w:p>
      <w:pPr>
        <w:spacing w:after="120"/>
        <w:ind w:firstLine="709"/>
      </w:pPr>
      <w:r>
        <w:rPr>
          <w:b w:val="0"/>
          <w:i w:val="0"/>
        </w:rPr>
        <w:t>5.1. Измерения производятся по показаниям штатных приборов и по дополнительно установленным переносным приборам специалистами-наладчиками. Все переключения и изменения нагрузок выполняются сменным персоналом котельной по указаниям руководителя испытаний.</w:t>
      </w:r>
    </w:p>
    <w:p>
      <w:pPr>
        <w:spacing w:after="120"/>
        <w:ind w:firstLine="709"/>
      </w:pPr>
      <w:r>
        <w:rPr>
          <w:b w:val="0"/>
          <w:i w:val="0"/>
        </w:rPr>
        <w:t>5.2. На каждом режиме после стабилизации теплового состояния выполняется серия из 5–6 опытов с интервалом 15–20 минут; результаты усредняются. Постоянными на каждой нагрузке поддерживаются: давление топлива перед горелкой, расход воды (пара) через котёл, разрежение в топке.</w:t>
      </w:r>
    </w:p>
    <w:p>
      <w:pPr>
        <w:spacing w:after="80"/>
        <w:ind w:firstLine="709"/>
      </w:pPr>
      <w:r>
        <w:rPr>
          <w:b w:val="0"/>
          <w:i w:val="0"/>
        </w:rPr>
        <w:t>5.3. Измеряемые величины и средства измерений: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Определяемая величина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Средство измерения / источник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газообразного/жидкого топлива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Штатный счётчик, уровнемер расходного бака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 приведением к нормальным условиям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твёрдого топлива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Взвешивание, замер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 каждой нагрузке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воды/пара на входе и выходе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Штатные термометры, лабораторный термометр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воды/пара, топлива, воздуха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Штатные манометры, U-образный манометр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Разрежение/давление в топке и газоходах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Штатные тягомеры, тягонапоромер ТНМП-52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 Testo-340, термометр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Состав уходящих газов (O₂, CO, CO₂, NOₓ, SO₂)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Электронный газоанализатор Testo-340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 представительной точке по тарировке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поверхности изоляции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 Testo-830-T2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воздуха на горение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Термометр, пирометр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Барометрическое давление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Барометр, метеосводка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5.4. Обработка результатов. Все необходимые расчёты выполняются в соответствии с «Методикой проведения режимно-наладочных испытаний» (упрощённая методика теплотехнических расчётов проф. М.Б. Равича) и нормативным методом теплового расчёта котельных агрегатов:</w:t>
      </w:r>
    </w:p>
    <w:p>
      <w:pPr>
        <w:spacing w:after="40"/>
        <w:ind w:firstLine="709"/>
      </w:pPr>
      <w:r>
        <w:rPr>
          <w:b w:val="0"/>
          <w:i w:val="0"/>
        </w:rPr>
        <w:t>– потери тепла с уходящими газами: q₂ = z·(t ух. – t х.в.)/((CO₂)макс + CO + CH₄ + …)·(100 – q₄), где z — опытный коэффициент, зависящий от вида топлива;</w:t>
      </w:r>
    </w:p>
    <w:p>
      <w:pPr>
        <w:spacing w:after="40"/>
        <w:ind w:firstLine="709"/>
      </w:pPr>
      <w:r>
        <w:rPr>
          <w:b w:val="0"/>
          <w:i w:val="0"/>
        </w:rPr>
        <w:t>– потери тепла от химической неполноты сгорания: q₃ — по содержанию CO, H₂, CH₄ в уходящих газах;</w:t>
      </w:r>
    </w:p>
    <w:p>
      <w:pPr>
        <w:spacing w:after="40"/>
        <w:ind w:firstLine="709"/>
      </w:pPr>
      <w:r>
        <w:rPr>
          <w:b w:val="0"/>
          <w:i w:val="0"/>
        </w:rPr>
        <w:t>– потери тепла в окружающую среду q₅ — по измеренным температурам поверхности котла либо по нормам теплового расчёта в зависимости от нагрузки;</w:t>
      </w:r>
    </w:p>
    <w:p>
      <w:pPr>
        <w:spacing w:after="40"/>
        <w:ind w:firstLine="709"/>
      </w:pPr>
      <w:r>
        <w:rPr>
          <w:b w:val="0"/>
          <w:i w:val="0"/>
        </w:rPr>
        <w:t>– КПД котла «брутто»: η бр = 100 – q₂ – q₃ – q₅, %;</w:t>
      </w:r>
    </w:p>
    <w:p>
      <w:pPr>
        <w:spacing w:after="40"/>
        <w:ind w:firstLine="709"/>
      </w:pPr>
      <w:r>
        <w:rPr>
          <w:b w:val="0"/>
          <w:i w:val="0"/>
        </w:rPr>
        <w:t>– КПД средневзвешенный и «нетто»: η нт = η бр – q сн (потери на собственные нужды принимаются 1 %);</w:t>
      </w:r>
    </w:p>
    <w:p>
      <w:pPr>
        <w:spacing w:after="40"/>
        <w:ind w:firstLine="709"/>
      </w:pPr>
      <w:r>
        <w:rPr>
          <w:b w:val="0"/>
          <w:i w:val="0"/>
        </w:rPr>
        <w:t>– теплопроизводительность: Q = G·Δt·10⁻³ (водогрейный котёл), Q = D·(i пп – i пв)·10⁻³ (паровой котёл);</w:t>
      </w:r>
    </w:p>
    <w:p>
      <w:pPr>
        <w:spacing w:after="40"/>
        <w:ind w:firstLine="709"/>
      </w:pPr>
      <w:r>
        <w:rPr>
          <w:b w:val="0"/>
          <w:i w:val="0"/>
        </w:rPr>
        <w:t>– удельный расход условного топлива: b у = 142,86·100/η нт, кг у.т./Гкал.</w:t>
      </w:r>
    </w:p>
    <w:p>
      <w:pPr>
        <w:spacing w:after="240"/>
        <w:jc w:val="center"/>
      </w:pPr>
      <w:r>
        <w:rPr>
          <w:b/>
          <w:i w:val="0"/>
          <w:sz w:val="28"/>
        </w:rPr>
        <w:t>6. Обязательства администрации котельной</w:t>
      </w:r>
    </w:p>
    <w:p>
      <w:pPr>
        <w:spacing w:after="120"/>
        <w:ind w:firstLine="709"/>
      </w:pPr>
      <w:r>
        <w:rPr>
          <w:b w:val="0"/>
          <w:i w:val="0"/>
        </w:rPr>
        <w:t>6.1. Администрация (заказчик) во время проведения режимно-наладочных испытаний:</w:t>
      </w:r>
    </w:p>
    <w:p>
      <w:pPr>
        <w:spacing w:after="40"/>
        <w:ind w:firstLine="709"/>
      </w:pPr>
      <w:r>
        <w:rPr>
          <w:b w:val="0"/>
          <w:i w:val="0"/>
        </w:rPr>
        <w:t>– обеспечивает необходимые режимы работы котла в соответствии с утверждённой программой, устраняет дефекты согласно перечню недостатков, выявленных при осмотре;</w:t>
      </w:r>
    </w:p>
    <w:p>
      <w:pPr>
        <w:spacing w:after="40"/>
        <w:ind w:firstLine="709"/>
      </w:pPr>
      <w:r>
        <w:rPr>
          <w:b w:val="0"/>
          <w:i w:val="0"/>
        </w:rPr>
        <w:t>– выделяет ответственного представителя для решения оперативных вопросов, связанных с проведением испытаний котла и обеспечения безаварийной работы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представляет наладочной группе рабочее место или помещение для хранения и подготовки приборов;</w:t>
      </w:r>
    </w:p>
    <w:p>
      <w:pPr>
        <w:spacing w:after="40"/>
        <w:ind w:firstLine="709"/>
      </w:pPr>
      <w:r>
        <w:rPr>
          <w:b w:val="0"/>
          <w:i w:val="0"/>
        </w:rPr>
        <w:t>– обеспечивает подачу топлива установленного качества и лабораторные анализы (паспорта качества).</w:t>
      </w:r>
    </w:p>
    <w:p>
      <w:pPr>
        <w:spacing w:after="120"/>
        <w:ind w:firstLine="709"/>
      </w:pPr>
      <w:r>
        <w:rPr>
          <w:b w:val="0"/>
          <w:i w:val="0"/>
        </w:rPr>
        <w:t>6.2. Ответственность за подготовку рабочего места, общие мероприятия по технике безопасности, допуск к работам в соответствии с Правилами несёт руководство котельной.</w:t>
      </w:r>
    </w:p>
    <w:p>
      <w:pPr>
        <w:spacing w:after="120"/>
        <w:ind w:firstLine="709"/>
      </w:pPr>
      <w:r>
        <w:rPr>
          <w:b w:val="0"/>
          <w:i w:val="0"/>
        </w:rPr>
        <w:t>6.3. Ответственность за организацию и выполнение мероприятий по охране труда на своих рабочих местах, за квалификацию персонала и соблюдение им ПТЭ и ТБ несёт руководитель испытаний от наладочной организации.</w:t>
      </w:r>
    </w:p>
    <w:p>
      <w:pPr>
        <w:spacing w:after="240"/>
        <w:jc w:val="center"/>
      </w:pPr>
      <w:r>
        <w:rPr>
          <w:b/>
          <w:i w:val="0"/>
          <w:sz w:val="28"/>
        </w:rPr>
        <w:t>7. Техника безопасности</w:t>
      </w:r>
    </w:p>
    <w:p>
      <w:pPr>
        <w:spacing w:after="120"/>
        <w:ind w:firstLine="709"/>
      </w:pPr>
      <w:r>
        <w:rPr>
          <w:b w:val="0"/>
          <w:i w:val="0"/>
        </w:rPr>
        <w:t>7.1. При проведении работ соблюдать требования Правил технической эксплуатации тепловых энергоустановок, Правил по охране труда при эксплуатации тепловых энергоустановок, инструкций по эксплуатации котлов и горелочных устройств.</w:t>
      </w:r>
    </w:p>
    <w:p>
      <w:pPr>
        <w:spacing w:after="120"/>
        <w:ind w:firstLine="709"/>
      </w:pPr>
      <w:r>
        <w:rPr>
          <w:b w:val="0"/>
          <w:i w:val="0"/>
        </w:rPr>
        <w:t>7.2. Работы на газоиспользующем оборудовании выполняются с соблюдением Правил безопасности систем газораспределения и газопотребления; розжиг котла — только после проверки отсутствия загазованности и продувки топки.</w:t>
      </w:r>
    </w:p>
    <w:p>
      <w:pPr>
        <w:spacing w:after="120"/>
        <w:ind w:firstLine="709"/>
      </w:pPr>
      <w:r>
        <w:rPr>
          <w:b w:val="0"/>
          <w:i w:val="0"/>
        </w:rPr>
        <w:t>7.3. При работе на мазуте контролировать отсутствие подтёков топлива, температуру подогрева, исключать розжиг форсунок с неисправными распылителями.</w:t>
      </w:r>
    </w:p>
    <w:p>
      <w:pPr>
        <w:spacing w:after="120"/>
        <w:ind w:firstLine="709"/>
      </w:pPr>
      <w:r>
        <w:rPr>
          <w:b w:val="0"/>
          <w:i w:val="0"/>
        </w:rPr>
        <w:t>7.4. При работе на угле соблюдать требования безопасности при шуровке слоя, загрузке топлива и удалении шлака; использовать защитные средства.</w:t>
      </w:r>
    </w:p>
    <w:p>
      <w:pPr>
        <w:spacing w:after="120"/>
        <w:ind w:firstLine="709"/>
      </w:pPr>
      <w:r>
        <w:rPr>
          <w:b w:val="0"/>
          <w:i w:val="0"/>
        </w:rPr>
        <w:t>7.5. Отбор проб уходящих газов и измерения на работающем котле выполнять в защитной одежде, не допуская ожогов и отравления продуктами сгорания.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Разработал:</w:t>
      </w:r>
    </w:p>
    <w:p>
      <w:pPr>
        <w:spacing w:after="280"/>
      </w:pPr>
      <w:r>
        <w:rPr>
          <w:b w:val="0"/>
          <w:i w:val="0"/>
        </w:rPr>
        <w:t>Инженер КИП и А                    ________________ /Сергеевский А.С./</w:t>
      </w:r>
    </w:p>
    <w:p>
      <w:pPr>
        <w:spacing w:after="40"/>
      </w:pPr>
      <w:r>
        <w:rPr>
          <w:b/>
          <w:i w:val="0"/>
        </w:rPr>
        <w:t>Согласовано:</w:t>
      </w:r>
    </w:p>
    <w:p>
      <w:pPr>
        <w:spacing w:after="280"/>
      </w:pPr>
      <w:r>
        <w:rPr>
          <w:b w:val="0"/>
          <w:i w:val="0"/>
        </w:rPr>
        <w:t>Начальник котельного участка   ________________ /Жельветр С.В./</w:t>
      </w:r>
    </w:p>
    <w:p>
      <w:pPr>
        <w:spacing w:after="280"/>
      </w:pPr>
      <w:r>
        <w:rPr>
          <w:b w:val="0"/>
          <w:i w:val="0"/>
        </w:rPr>
        <w:t>Руководитель работ                ________________ /Амбарцумов А.В./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8"/>
        </w:rPr>
        <w:t>Приложение 1. Универсальная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2"/>
        </w:rPr>
        <w:t>Уставки срабатывания защит определяются видом топлива; для конкретного котла оформляется индивидуальная карта (см. режимные карты котлов).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247"/>
      </w:tblGrid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 защиты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Природный газ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Мазут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Уголь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Дизельное топливо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топлива перед клапанами/горелкой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топлива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(для котлов с уравновешенной тягой)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угля в бункере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/>
          <w:sz w:val="22"/>
        </w:rPr>
        <w:t>Время срабатывания защит: пп. 1–3, 5–8, 11 — без выдержки; п. 4 — не более 0,5 с; п. 9 — не более 5 с; п. 10 — не более 15 с.</w:t>
      </w:r>
    </w:p>
    <w:p>
      <w:pPr>
        <w:spacing w:after="120"/>
        <w:ind w:firstLine="709"/>
      </w:pPr>
      <w:r>
        <w:rPr>
          <w:b w:val="0"/>
          <w:i/>
          <w:sz w:val="22"/>
        </w:rPr>
        <w:t>Для паровых котлов ДКВР дополнительно контролируются: давление пара (повышение — 1,25 от рабочего), уровень воды в барабане (предельные уровни), температура уходящих газов.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8"/>
        </w:rPr>
        <w:t>Приложение 2. Ориентировочные нормы состава уходящих газов по видам топлива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Показатель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Природный газ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Мазут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Уголь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1"/>
              </w:rPr>
              <w:t>Дизельное топливо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(CO₂), 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8–11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12–14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14–18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12–14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(O₂), 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2–5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2–5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3–6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3–6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(CO), мг/м³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0–150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50–300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100–400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50–200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Окислы азота (NOₓ), мг/м³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25–500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450–900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300–1200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200–800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1,05–1,3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1,1–1,4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1,2–1,6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1,1–1,35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Точка росы,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45–60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110–130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120–150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50–70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Твердые частицы (зола, сажа), мг/м³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практ. отсутствуют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50–100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50–200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20–100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/>
          <w:sz w:val="22"/>
        </w:rPr>
        <w:t>Значения приведены как справочные для оценки качества сгорания; конкретные оптимальные значения для каждого котла устанавливаются испытаниями и приводятся в режимных картах.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8"/>
        </w:rPr>
        <w:t>Приложение 3. Состав комплекта документов режимной наладки</w:t>
      </w:r>
    </w:p>
    <w:p>
      <w:pPr>
        <w:spacing w:after="120"/>
        <w:ind w:firstLine="709"/>
      </w:pPr>
      <w:r>
        <w:rPr>
          <w:b w:val="0"/>
          <w:i w:val="0"/>
        </w:rPr>
        <w:t>По результатам режимно-наладочных работ по каждому котлу (на каждом виде топлива) оформляется комплект из трёх документов:</w:t>
      </w:r>
    </w:p>
    <w:p>
      <w:pPr>
        <w:spacing w:after="40"/>
        <w:ind w:firstLine="709"/>
      </w:pPr>
      <w:r>
        <w:rPr>
          <w:b w:val="0"/>
          <w:i w:val="0"/>
        </w:rPr>
        <w:t>– Программа режимно-наладочных работ (настоящий документ — универсальная, либо индивидуальная на конкретный котёл);</w:t>
      </w:r>
    </w:p>
    <w:p>
      <w:pPr>
        <w:spacing w:after="40"/>
        <w:ind w:firstLine="709"/>
      </w:pPr>
      <w:r>
        <w:rPr>
          <w:b w:val="0"/>
          <w:i w:val="0"/>
        </w:rPr>
        <w:t>– Технический отчёт о режимно-наладочных испытаниях котла;</w:t>
      </w:r>
    </w:p>
    <w:p>
      <w:pPr>
        <w:spacing w:after="40"/>
        <w:ind w:firstLine="709"/>
      </w:pPr>
      <w:r>
        <w:rPr>
          <w:b w:val="0"/>
          <w:i w:val="0"/>
        </w:rPr>
        <w:t>– Режимная карта котла (с картой настройки автоматики безопасности).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