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парового котла типа ДКВР-10/13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Суворова, д. 79,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парового котла типа ДКВР-10/13 ст. №2 при сжигании мазуте в котельной по адресу: г. Новая Ладога, ул. Суворова, д. 79,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ДКВР-10/13 ст. №2 проводились представителями ООО «Леноблтеплоснаб» в декабре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г. Новая Ладога, ул. Суворова, д. 79 предназначена для покрытия тепловых нагрузок жилых и общественных зданий. В котельной установлено котлов — 5: ст. №1 (ДКВР-10/13, природный газ/мазут), ст. №2 (ДКВР-10/13, природный газ/мазут), ст. №3 (ДКВР-10/13, природный газ), ст. №4 (КВГМ 20-150, природный газ/мазут), ст. №5 (КВГМ 20-150, природный газ/мазут).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ДКВР-10/13 ст. №2 при работе на мазуте.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ДКВР-10/13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Паропроизводительность номинальная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пара рабочее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пара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питательной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280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мазут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вентилятором. Мазут подогревается в подогревателе перед подачей на форсунку горелки.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счётчика (уровнемера расходного бака).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Мазут топочный. Теплота сгорания и элементарный состав определялись по данным лабораторных анализов (паспортов качества).</w:t>
      </w:r>
    </w:p>
    <w:p>
      <w:pPr>
        <w:spacing w:after="40"/>
        <w:ind w:firstLine="709"/>
      </w:pPr>
      <w:r>
        <w:rPr>
          <w:b w:val="0"/>
          <w:i w:val="0"/>
        </w:rPr>
        <w:t>Мазут подогревается до температуры, обеспечивающей необходимую вязкость распыливания (80–120 °C в зависимости от марки топлива); температура мазута на горение контролировалась штатным термометром.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по показаниям счётчика (по изменению уровня в расходном баке).</w:t>
      </w:r>
    </w:p>
    <w:p>
      <w:pPr>
        <w:spacing w:after="40"/>
        <w:ind w:firstLine="709"/>
      </w:pPr>
      <w:r>
        <w:rPr>
          <w:b w:val="0"/>
          <w:i w:val="0"/>
        </w:rPr>
        <w:t>Давление мазута перед горелкой (форсункой) определялось по штатному манометру.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Давление пара, температура пара и питательной воды определялись по штатным приборам; паропроизводительность — по расходу пара (питательной воды).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D·(iпп – iпв)·10⁻³, Гкал/ч,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D = 5,1–10,6 т/ч (Q = 2,5–5 Гкал/ч) или 46–94 %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1,55–1,3.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298–350 °C.</w:t>
      </w:r>
    </w:p>
    <w:p>
      <w:pPr>
        <w:spacing w:after="80"/>
        <w:ind w:firstLine="709"/>
      </w:pPr>
      <w:r>
        <w:rPr>
          <w:b w:val="0"/>
          <w:i w:val="0"/>
        </w:rPr>
        <w:t>6.5. Потери тепла с уходящими газами составили q₂ = 5,5–10,9 %.</w:t>
      </w:r>
    </w:p>
    <w:p>
      <w:pPr>
        <w:spacing w:after="80"/>
        <w:ind w:firstLine="709"/>
      </w:pPr>
      <w:r>
        <w:rPr>
          <w:b w:val="0"/>
          <w:i w:val="0"/>
        </w:rPr>
        <w:t>6.6. Потери тепла в окружающую среду на максимальных нагрузках составили q₅ = 2,6 %.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87,8–89,4 %.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88,6 %.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88,6 – 1 = 87,6 %.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163,1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мазута при работе котла в режимах по режимной карте — от 368 до 722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(46–94 %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5 Гкал/ч (94 %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87,8–89,4 %; средневзвешенный КПД «брутто» — 88,6 %.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87,6 %.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163,1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ДКВР-10/13 ст. №2 (ном. 6,2 МВт / 5,4 Гкал/ч), тип горелки: по паспорту котла, при работе на мазуте, установленного в котельной по адресу: г. Новая Ладога, ул. Суворова, д. 79,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368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722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топлива (подогрев мазута)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298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Паропроизводительность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пара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187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пара в барабане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питательной воды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Потери тепла с уходящими газами (q₂)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Потери тепла в окружающую среду (q₅)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87,8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89,4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198,3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ДКВР-10/13 ст. №2, эксплуатируемого в котельной по адресу: г. Новая Ладога, ул. Суворова, д. 79, при работе на мазуте.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температуры мазута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уровня воды в барабане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пара в барабане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