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2024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КВГМ-1,6-95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Старая Ладога, пр. Волховский, 12а,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2024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КВГМ-1,6-95 ст. №1 при сжигании природном газе в котельной по адресу: с. Старая Ладога, пр. Волховский, 12а,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КВГМ-1,6-95 ст. №1 проводились представителями ООО «Леноблтеплоснаб» в сентябре 2024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с. Старая Ладога, пр. Волховский, 12а предназначена для покрытия тепловых нагрузок жилых и общественных зданий. В котельной установлено котлов — 2: ст. №1 (КВГМ-1,6-95, природный газ), ст. №2 (КВГМ-1,6-95,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КВГМ-1,6-95 ст. №1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КВГМ-1,6-95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1,6 / 1,4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ЕММА-С3 ПРОМА.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0,6–1,2 Гкал/ч (0,7–1,4 МВт) или 47–85 %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1,23–1.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144–155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87 до 157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(47–85 %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1,2 Гкал/ч (85 %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КВГМ-1,6-95 ст. №1 (ном. 1,6 МВт / 1,4 Гкал/ч), тип горелки: ЕММА-С3 ПРОМА, при работе на природном газе, установленного в котельной по адресу: с. Старая Ладога, пр. Волховский, 12а,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КВГМ-1,6-95 ст. №1, эксплуатируемого в котельной по адресу: с. Старая Ладога, пр. Волховский, 12а,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