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КВГМ-1,6-95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пр. Волховский, 12а,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КВГМ-1,6-95 ст. №2 при сжигании природном газе в котельной по адресу: с. Старая Ладога, пр. Волховский, 12а,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КВГМ-1,6-95 ст. №2 проводились представителями ООО «Леноблтеплоснаб» в апреле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Старая Ладога, пр. Волховский, 12а предназначена для покрытия тепловых нагрузок жилых и общественных зданий. В котельной установлено котлов — 2: ст. №1 (КВГМ-1,6-95, природный газ), ст. №2 (КВГМ-1,6-95,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КВГМ-1,6-95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КВГМ-1,6-95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 / 1,4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R91А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0,6–1,3 Гкал/ч (0,7–1,5 МВт) или 45–97 %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1–1.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90–87,7 %.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162,6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84 до 185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(45–97 %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1,3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90–87,7 %; средневзвешенный КПД «брутто» — 88,8 %.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КВГМ-1,6-95 ст. №2 (ном. 1,6 МВт / 1,4 Гкал/ч), тип горелки: R91А CIB UNIGAS, при работе на природном газе, установленного в котельной по адресу: с. Старая Ладога, пр. Волховский, 12а,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87,7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162,9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КВГМ-1,6-95 ст. №2, эксплуатируемого в котельной по адресу: с. Старая Ладога, пр. Волховский, 12а,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