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4983"/>
          </w:tcPr>
          <w:p/>
        </w:tc>
        <w:tc>
          <w:tcPr>
            <w:tcW w:type="dxa" w:w="4983"/>
          </w:tcPr>
          <w:p>
            <w:pPr>
              <w:spacing w:after="0"/>
            </w:pPr>
            <w:r>
              <w:rPr>
                <w:b/>
              </w:rPr>
              <w:t>УТВЕРЖДАЮ</w:t>
            </w:r>
          </w:p>
          <w:p>
            <w:pPr>
              <w:spacing w:after="0"/>
            </w:pPr>
            <w:r>
              <w:rPr>
                <w:b w:val="0"/>
              </w:rPr>
              <w:t>Зам. ген. директора –</w:t>
            </w:r>
          </w:p>
          <w:p>
            <w:pPr>
              <w:spacing w:after="0"/>
            </w:pPr>
            <w:r>
              <w:rPr>
                <w:b w:val="0"/>
              </w:rPr>
              <w:t>главный инженер</w:t>
            </w:r>
          </w:p>
          <w:p>
            <w:pPr>
              <w:spacing w:after="0"/>
            </w:pPr>
            <w:r>
              <w:rPr>
                <w:b w:val="0"/>
              </w:rPr>
              <w:t>ООО "Леноблтеплоснаб"</w:t>
            </w:r>
          </w:p>
          <w:p>
            <w:pPr>
              <w:spacing w:after="0"/>
            </w:pPr>
            <w:r>
              <w:rPr>
                <w:b w:val="0"/>
              </w:rPr>
              <w:t>Степанов А.В.</w:t>
            </w:r>
          </w:p>
          <w:p>
            <w:pPr>
              <w:spacing w:after="0"/>
            </w:pPr>
            <w:r>
              <w:rPr>
                <w:b w:val="0"/>
              </w:rPr>
              <w:t>__________________</w:t>
            </w:r>
          </w:p>
          <w:p>
            <w:pPr>
              <w:spacing w:after="0"/>
            </w:pPr>
            <w:r>
              <w:rPr>
                <w:b w:val="0"/>
              </w:rPr>
              <w:t>«___» _______________ 2026 г.</w:t>
            </w:r>
          </w:p>
        </w:tc>
      </w:tr>
    </w:tbl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120" w:before="0"/>
        <w:jc w:val="center"/>
      </w:pPr>
      <w:r>
        <w:rPr>
          <w:b/>
        </w:rPr>
        <w:t>ТЕХНИЧЕСКИЙ ОТЧЁТ</w:t>
      </w:r>
    </w:p>
    <w:p>
      <w:pPr>
        <w:spacing w:after="120" w:before="0"/>
        <w:jc w:val="center"/>
      </w:pPr>
      <w:r>
        <w:rPr>
          <w:b w:val="0"/>
        </w:rPr>
        <w:t>по результатам режимно-наладочных испытаний</w:t>
      </w:r>
    </w:p>
    <w:p>
      <w:pPr>
        <w:spacing w:after="40" w:before="0"/>
        <w:jc w:val="center"/>
      </w:pPr>
      <w:r>
        <w:rPr>
          <w:b w:val="0"/>
        </w:rPr>
        <w:t>водогрейного котла типа КВГМ 0,63-95 ст. №1,</w:t>
      </w:r>
    </w:p>
    <w:p>
      <w:pPr>
        <w:spacing w:after="40" w:before="0"/>
        <w:jc w:val="center"/>
      </w:pPr>
      <w:r>
        <w:rPr>
          <w:b w:val="0"/>
        </w:rPr>
        <w:t>работающего на природном газе,</w:t>
      </w:r>
    </w:p>
    <w:p>
      <w:pPr>
        <w:spacing w:after="40" w:before="0"/>
        <w:jc w:val="center"/>
      </w:pPr>
      <w:r>
        <w:rPr>
          <w:b w:val="0"/>
        </w:rPr>
        <w:t>установленного в котельной по адресу:</w:t>
      </w:r>
    </w:p>
    <w:p>
      <w:pPr>
        <w:spacing w:after="40" w:before="0"/>
        <w:jc w:val="center"/>
      </w:pPr>
      <w:r>
        <w:rPr>
          <w:b w:val="0"/>
        </w:rPr>
        <w:t>д. Кисельня, ул.Северная, д.6,</w:t>
      </w:r>
    </w:p>
    <w:p>
      <w:pPr>
        <w:spacing w:after="40" w:before="0"/>
        <w:jc w:val="center"/>
      </w:pPr>
      <w:r>
        <w:rPr>
          <w:b w:val="0"/>
        </w:rPr>
        <w:t>Волховского р-на Ленинградской области</w:t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40" w:before="0"/>
      </w:pPr>
      <w:r>
        <w:rPr>
          <w:b/>
        </w:rPr>
        <w:t>Разработал:</w:t>
      </w:r>
    </w:p>
    <w:p>
      <w:pPr>
        <w:spacing w:after="240" w:before="0"/>
      </w:pPr>
      <w:r>
        <w:rPr>
          <w:b w:val="0"/>
        </w:rPr>
        <w:t>Зам. главного инженера            ________________ /Амбарцумов А.В./</w:t>
      </w:r>
    </w:p>
    <w:p>
      <w:pPr>
        <w:spacing w:after="40" w:before="0"/>
      </w:pPr>
      <w:r>
        <w:rPr>
          <w:b/>
        </w:rPr>
        <w:t>Согласовано:</w:t>
      </w:r>
    </w:p>
    <w:p>
      <w:pPr>
        <w:spacing w:after="240" w:before="0"/>
      </w:pPr>
      <w:r>
        <w:rPr>
          <w:b w:val="0"/>
        </w:rPr>
        <w:t>Начальник котельного участка ________________ /_______________/</w:t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40" w:before="0"/>
        <w:jc w:val="center"/>
      </w:pPr>
      <w:r>
        <w:rPr>
          <w:b w:val="0"/>
        </w:rPr>
        <w:t>Санкт – Петербург</w:t>
      </w:r>
    </w:p>
    <w:p>
      <w:pPr>
        <w:spacing w:after="40" w:before="0"/>
        <w:jc w:val="center"/>
      </w:pPr>
      <w:r>
        <w:rPr>
          <w:b w:val="0"/>
        </w:rPr>
        <w:t>2026 г.</w:t>
      </w:r>
      <w:r>
        <w:br w:type="page"/>
      </w:r>
    </w:p>
    <w:p>
      <w:pPr>
        <w:spacing w:after="40" w:before="0"/>
        <w:jc w:val="center"/>
      </w:pPr>
      <w:r>
        <w:rPr>
          <w:b/>
        </w:rPr>
        <w:t>Аннотация</w:t>
      </w:r>
    </w:p>
    <w:p>
      <w:pPr>
        <w:spacing w:after="20" w:before="0"/>
        <w:ind w:firstLine="709"/>
      </w:pPr>
      <w:r>
        <w:rPr>
          <w:b w:val="0"/>
        </w:rPr>
        <w:t>Настоящий отчет составлен по результатам режимно-наладочных испытаний водогрейного котла типа КВГМ 0,63-95 ст. №1 при сжигании природного газа в котельной по адресу: д. Кисельня, ул.Северная, д.6, Волховского р-на Ленинградской области. В отчете представлены технические характеристики оборудования, изложены методика проведения наладочных работ, приведены результаты испытаний, выводы и рекомендации. Данный отчет является официальным документом, результаты которого могут быть использованы при составлении отчетной документации, разработке режимных карт и эксплуатации котельного оборудования.</w:t>
      </w:r>
    </w:p>
    <w:p>
      <w:pPr>
        <w:spacing w:after="60" w:before="0"/>
        <w:ind w:firstLine="709"/>
      </w:pPr>
      <w:r>
        <w:rPr>
          <w:b w:val="0"/>
        </w:rPr>
        <w:t>Режимная карта котла, задание (карта) на настройку автоматики безопасности — в Приложении. Работы выполнялись по программе проведения режимно-наладочных работ ООО «Леноблтеплоснаб».</w:t>
      </w:r>
    </w:p>
    <w:p>
      <w:pPr>
        <w:spacing w:after="40" w:before="0"/>
        <w:jc w:val="center"/>
      </w:pPr>
      <w:r>
        <w:rPr>
          <w:b/>
        </w:rPr>
        <w:t>Содержание</w:t>
      </w:r>
    </w:p>
    <w:p>
      <w:pPr>
        <w:spacing w:after="20" w:before="0"/>
      </w:pPr>
      <w:r>
        <w:rPr>
          <w:b w:val="0"/>
        </w:rPr>
        <w:t>1. Введение</w:t>
      </w:r>
    </w:p>
    <w:p>
      <w:pPr>
        <w:spacing w:after="20" w:before="0"/>
      </w:pPr>
      <w:r>
        <w:rPr>
          <w:b w:val="0"/>
        </w:rPr>
        <w:t>2. Краткая техническая характеристика оборудования</w:t>
      </w:r>
    </w:p>
    <w:p>
      <w:pPr>
        <w:spacing w:after="20" w:before="0"/>
      </w:pPr>
      <w:r>
        <w:rPr>
          <w:b w:val="0"/>
        </w:rPr>
        <w:t>3. Программа проведения наладочных работ</w:t>
      </w:r>
    </w:p>
    <w:p>
      <w:pPr>
        <w:spacing w:after="20" w:before="0"/>
      </w:pPr>
      <w:r>
        <w:rPr>
          <w:b w:val="0"/>
        </w:rPr>
        <w:t>4. Методика проведения испытаний</w:t>
      </w:r>
    </w:p>
    <w:p>
      <w:pPr>
        <w:spacing w:after="20" w:before="0"/>
      </w:pPr>
      <w:r>
        <w:rPr>
          <w:b w:val="0"/>
        </w:rPr>
        <w:t>5. Условия проведения испытаний</w:t>
      </w:r>
    </w:p>
    <w:p>
      <w:pPr>
        <w:spacing w:after="20" w:before="0"/>
      </w:pPr>
      <w:r>
        <w:rPr>
          <w:b w:val="0"/>
        </w:rPr>
        <w:t>6. Результаты испытаний</w:t>
      </w:r>
    </w:p>
    <w:p>
      <w:pPr>
        <w:spacing w:after="20" w:before="0"/>
      </w:pPr>
      <w:r>
        <w:rPr>
          <w:b w:val="0"/>
        </w:rPr>
        <w:t>7. Выводы и рекомендации</w:t>
      </w:r>
    </w:p>
    <w:p>
      <w:pPr>
        <w:spacing w:after="20" w:before="0"/>
      </w:pPr>
      <w:r>
        <w:rPr>
          <w:b w:val="0"/>
        </w:rPr>
        <w:t>8. Литература</w:t>
      </w:r>
    </w:p>
    <w:p>
      <w:pPr>
        <w:spacing w:after="20" w:before="0"/>
      </w:pPr>
      <w:r>
        <w:rPr>
          <w:b w:val="0"/>
        </w:rPr>
        <w:t>Приложение 1. Режимная карта работы котла</w:t>
      </w:r>
    </w:p>
    <w:p>
      <w:pPr>
        <w:spacing w:after="20" w:before="0"/>
      </w:pPr>
      <w:r>
        <w:rPr>
          <w:b w:val="0"/>
        </w:rPr>
        <w:t>Приложение 2. Карта настройки автоматики безопасности</w:t>
      </w:r>
    </w:p>
    <w:p>
      <w:pPr>
        <w:spacing w:after="40" w:before="0"/>
        <w:jc w:val="center"/>
      </w:pPr>
      <w:r>
        <w:rPr>
          <w:b/>
        </w:rPr>
        <w:t>1. Введение</w:t>
      </w:r>
    </w:p>
    <w:p>
      <w:pPr>
        <w:spacing w:after="20" w:before="0"/>
        <w:ind w:firstLine="709"/>
      </w:pPr>
      <w:r>
        <w:rPr>
          <w:b w:val="0"/>
        </w:rPr>
        <w:t>Режимно-наладочные испытания котла типа КВГМ 0,63-95 ст. №1 проводились представителями ООО «Леноблтеплоснаб» в январе 2026 года в соответствии с программой проведения режимно-наладочных работ.</w:t>
      </w:r>
    </w:p>
    <w:p>
      <w:pPr>
        <w:spacing w:after="20" w:before="0"/>
        <w:ind w:firstLine="709"/>
      </w:pPr>
      <w:r>
        <w:rPr>
          <w:b w:val="0"/>
        </w:rPr>
        <w:t>Цель работы — определение диапазона работы котла, выбор оптимальных режимов работы, определение потерь тепла, КПД и удельного расхода условного топлива при сжигании природного газа, разработка режимной карты.</w:t>
      </w:r>
    </w:p>
    <w:p>
      <w:pPr>
        <w:spacing w:after="40" w:before="0"/>
      </w:pPr>
      <w:r>
        <w:rPr>
          <w:b/>
        </w:rPr>
        <w:t>Объем работ</w:t>
      </w:r>
    </w:p>
    <w:p>
      <w:pPr>
        <w:spacing w:after="40" w:before="0"/>
        <w:ind w:firstLine="709"/>
      </w:pPr>
      <w:r>
        <w:rPr>
          <w:b w:val="0"/>
        </w:rPr>
        <w:t>В объем работ входили следующие мероприятия:</w:t>
      </w:r>
    </w:p>
    <w:p>
      <w:pPr>
        <w:spacing w:after="20" w:before="0"/>
        <w:ind w:firstLine="709"/>
      </w:pPr>
      <w:r>
        <w:rPr>
          <w:b w:val="0"/>
        </w:rPr>
        <w:t>–  ознакомление с технической документацией котла и вспомогательного оборудования; осмотр котла, состояния поверхностей нагрева и изоляции;</w:t>
      </w:r>
    </w:p>
    <w:p>
      <w:pPr>
        <w:spacing w:after="20" w:before="0"/>
        <w:ind w:firstLine="709"/>
      </w:pPr>
      <w:r>
        <w:rPr>
          <w:b w:val="0"/>
        </w:rPr>
        <w:t>–  ознакомление с состоянием контрольно-измерительных приборов и подготовка дополнительных приборов для проведения испытаний;</w:t>
      </w:r>
    </w:p>
    <w:p>
      <w:pPr>
        <w:spacing w:after="20" w:before="0"/>
        <w:ind w:firstLine="709"/>
      </w:pPr>
      <w:r>
        <w:rPr>
          <w:b w:val="0"/>
        </w:rPr>
        <w:t>–  тарировка сечения газохода для определения оптимальной точки замеров температур и состава уходящих газов;</w:t>
      </w:r>
    </w:p>
    <w:p>
      <w:pPr>
        <w:spacing w:after="20" w:before="0"/>
        <w:ind w:firstLine="709"/>
      </w:pPr>
      <w:r>
        <w:rPr>
          <w:b w:val="0"/>
        </w:rPr>
        <w:t>–  проведение прикидочных и основных балансовых опытов во всем диапазоне нагрузок с определением количества сжигаемого топлива;</w:t>
      </w:r>
    </w:p>
    <w:p>
      <w:pPr>
        <w:spacing w:after="20" w:before="0"/>
        <w:ind w:firstLine="709"/>
      </w:pPr>
      <w:r>
        <w:rPr>
          <w:b w:val="0"/>
        </w:rPr>
        <w:t>–  проверка работы и настройка автоматики безопасности;</w:t>
      </w:r>
    </w:p>
    <w:p>
      <w:pPr>
        <w:spacing w:after="20" w:before="0"/>
        <w:ind w:firstLine="709"/>
      </w:pPr>
      <w:r>
        <w:rPr>
          <w:b w:val="0"/>
        </w:rPr>
        <w:t>–  обработка результатов испытаний, составление режимной карты и технического отчета.</w:t>
      </w:r>
    </w:p>
    <w:p>
      <w:pPr>
        <w:spacing w:after="40" w:before="0"/>
        <w:jc w:val="center"/>
      </w:pPr>
      <w:r>
        <w:rPr>
          <w:b/>
        </w:rPr>
        <w:t>2. Краткая техническая характеристика оборудования</w:t>
      </w:r>
    </w:p>
    <w:p>
      <w:pPr>
        <w:spacing w:after="20" w:before="0"/>
        <w:ind w:firstLine="709"/>
      </w:pPr>
      <w:r>
        <w:rPr>
          <w:b w:val="0"/>
        </w:rPr>
        <w:t>Котельная по адресу: д. Кисельня, ул.Северная, д.6 предназначена для покрытия тепловых нагрузок жилых и общественных зданий. В котельной эксплуатируется котлов — 2: ст. №1 (КВГМ 0,63-95, природный газ); ст. №2 (КВГМ 0,63-95, природный газ).</w:t>
      </w:r>
    </w:p>
    <w:p>
      <w:pPr>
        <w:spacing w:after="20" w:before="0"/>
        <w:ind w:firstLine="709"/>
      </w:pPr>
      <w:r>
        <w:rPr>
          <w:b w:val="0"/>
        </w:rPr>
        <w:t>Испытания проводились на котле КВГМ 0,63-95 ст. №1 при работе на природном газе. Техническая характеристика котла приведена в таблице 1.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46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№ п/п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Наименование величин</w:t>
            </w:r>
          </w:p>
        </w:tc>
        <w:tc>
          <w:tcPr>
            <w:tcW w:type="dxa" w:w="2546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Ед. изм.</w:t>
            </w:r>
          </w:p>
        </w:tc>
        <w:tc>
          <w:tcPr>
            <w:tcW w:type="dxa" w:w="255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Значение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Тип котла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–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КВГМ 0,63-95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Номинальная теплопроизводительность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МВт / Гкал/ч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0,6 / 0,52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Температура воды на входе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°C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70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Температура воды на выходе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°C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95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5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Рабочее давление воды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кгс/см²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6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6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Номинальный расход воды через котел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т/ч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22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7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Гидравлическое сопротивление котла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кгс/см²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0,6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8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Температура уходящих газов (расчётная)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°C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140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9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КПД (расчётный)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%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92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10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Вид топлива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–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природный газ</w:t>
            </w:r>
          </w:p>
        </w:tc>
      </w:tr>
    </w:tbl>
    <w:p>
      <w:pPr>
        <w:spacing w:after="20" w:before="0"/>
        <w:ind w:firstLine="709"/>
      </w:pPr>
      <w:r>
        <w:rPr>
          <w:b w:val="0"/>
        </w:rPr>
        <w:t>Котёл оборудован горелкой типа P60 CIB UNIGAS.</w:t>
      </w:r>
    </w:p>
    <w:p>
      <w:pPr>
        <w:spacing w:after="20" w:before="0"/>
        <w:ind w:firstLine="709"/>
      </w:pPr>
      <w:r>
        <w:rPr>
          <w:b w:val="0"/>
        </w:rPr>
        <w:t>Подача воздуха на горение производится вентилятором горелочного устройства; удаление дымовых газов — через газоходы в дымовую трубу за счёт естественной тяги.</w:t>
      </w:r>
    </w:p>
    <w:p>
      <w:pPr>
        <w:spacing w:after="20" w:before="0"/>
        <w:ind w:firstLine="709"/>
      </w:pPr>
      <w:r>
        <w:rPr>
          <w:b w:val="0"/>
        </w:rPr>
        <w:t>Расход топлива на котёл определяется по показаниям газового счётчика.</w:t>
      </w:r>
    </w:p>
    <w:p>
      <w:pPr>
        <w:spacing w:after="40" w:before="0"/>
        <w:jc w:val="center"/>
      </w:pPr>
      <w:r>
        <w:rPr>
          <w:b/>
        </w:rPr>
        <w:t>3. Программа проведения наладочных работ</w:t>
      </w:r>
    </w:p>
    <w:p>
      <w:pPr>
        <w:spacing w:after="20" w:before="0"/>
        <w:ind w:firstLine="709"/>
      </w:pPr>
      <w:r>
        <w:rPr>
          <w:b w:val="0"/>
        </w:rPr>
        <w:t>Работы выполнялись в соответствии с Программой проведения режимно-наладочных работ ООО «Леноблтеплоснаб» (прилагается к отчёту), паспортами котла, горелочного устройства и технической документацией на арматуру котла. Испытания проводились в эксплуатационных условиях и включали: ознакомление с технической документацией и осмотр оборудования; проверку показаний штатных приборов; составление схемы измерений и тарировку сечений газоходов; проведение прикидочных и основных балансовых опытов во всём диапазоне нагрузок; проверку и настройку автоматики безопасности; обработку результатов, составление режимной карты и технического отчёта. Определялись оптимальные условия работы котла и вспомогательного оборудования на различных нагрузках и их технико-экономические показатели.</w:t>
      </w:r>
    </w:p>
    <w:p>
      <w:pPr>
        <w:spacing w:after="40" w:before="0"/>
        <w:jc w:val="center"/>
      </w:pPr>
      <w:r>
        <w:rPr>
          <w:b/>
        </w:rPr>
        <w:t>4. Методика проведения испытаний</w:t>
      </w:r>
    </w:p>
    <w:p>
      <w:pPr>
        <w:spacing w:after="20" w:before="0"/>
        <w:ind w:firstLine="709"/>
      </w:pPr>
      <w:r>
        <w:rPr>
          <w:b w:val="0"/>
        </w:rPr>
        <w:t>Испытания котла проводились в соответствии с методикой режимно-наладочных испытаний ООО «Леноблтеплоснаб», основанной на методике теплотехнических расчётов проф. М.Б. Равича и нормативном методе теплового расчёта котельных агрегатов.</w:t>
      </w:r>
    </w:p>
    <w:p>
      <w:pPr>
        <w:spacing w:after="40" w:before="0"/>
      </w:pPr>
      <w:r>
        <w:rPr>
          <w:b/>
        </w:rPr>
        <w:t>4.1. Топливо</w:t>
      </w:r>
    </w:p>
    <w:p>
      <w:pPr>
        <w:spacing w:after="20" w:before="0"/>
        <w:ind w:firstLine="709"/>
      </w:pPr>
      <w:r>
        <w:rPr>
          <w:b w:val="0"/>
        </w:rPr>
        <w:t>Природный газ. Химический состав и теплота сгорания — по паспортам качества поставщика (лабораторным данным); расход — по показаниям газового счётчика с приведением к нормальным условиям (20 °C, 760 мм рт. ст.); давление газа перед счётчиком и горелкой — по штатным приборам у котла.</w:t>
      </w:r>
    </w:p>
    <w:p>
      <w:pPr>
        <w:spacing w:after="40" w:before="0"/>
      </w:pPr>
      <w:r>
        <w:rPr>
          <w:b/>
        </w:rPr>
        <w:t>4.2. Теплоноситель и воздушный тракт</w:t>
      </w:r>
    </w:p>
    <w:p>
      <w:pPr>
        <w:spacing w:after="20" w:before="0"/>
        <w:ind w:firstLine="709"/>
      </w:pPr>
      <w:r>
        <w:rPr>
          <w:b w:val="0"/>
        </w:rPr>
        <w:t>Температура и избыточные давления сетевой воды до и после котла — по штатным приборам (согласно схеме измерений); расход воды через котёл — по штатным расходомерам.</w:t>
      </w:r>
    </w:p>
    <w:p>
      <w:pPr>
        <w:spacing w:after="20" w:before="0"/>
        <w:ind w:firstLine="709"/>
      </w:pPr>
      <w:r>
        <w:rPr>
          <w:b w:val="0"/>
        </w:rPr>
        <w:t>Давление воздуха, идущего на горение, — по показаниям штатных напоромеров (напоромеров горелочного устройства).</w:t>
      </w:r>
    </w:p>
    <w:p>
      <w:pPr>
        <w:spacing w:after="40" w:before="0"/>
      </w:pPr>
      <w:r>
        <w:rPr>
          <w:b/>
        </w:rPr>
        <w:t>4.3. Продукты сгорания</w:t>
      </w:r>
    </w:p>
    <w:p>
      <w:pPr>
        <w:spacing w:after="20" w:before="0"/>
        <w:ind w:firstLine="709"/>
      </w:pPr>
      <w:r>
        <w:rPr>
          <w:b w:val="0"/>
        </w:rPr>
        <w:t>Разрежение в топке — штатным тягомером; анализ уходящих газов на O₂, CO, CO₂, NOₓ и их температура — электронным газоанализатором типа Testo-310-2 в представительной точке газохода, определённой по тарировке; визуальный контроль за процессом горения — через смотровые лючки.</w:t>
      </w:r>
    </w:p>
    <w:p>
      <w:pPr>
        <w:spacing w:after="40" w:before="0"/>
      </w:pPr>
      <w:r>
        <w:rPr>
          <w:b/>
        </w:rPr>
        <w:t>4.4. Тепловой баланс</w:t>
      </w:r>
    </w:p>
    <w:p>
      <w:pPr>
        <w:spacing w:after="20" w:before="0"/>
        <w:ind w:firstLine="709"/>
      </w:pPr>
      <w:r>
        <w:rPr>
          <w:b w:val="0"/>
        </w:rPr>
        <w:t>Потери тепла с уходящими газами подсчитывались по упрощённой методике теплотехнических расчётов проф. Равича: q₂ = (tух – tх.в.)·(k/Qрн)·100, %, где tух — температура уходящих газов, °C; tх.в. — температура воздуха на горение, °C; k — опытный коэффициент, зависящий от вида топлива и содержания RO₂ в уходящих газах.</w:t>
      </w:r>
    </w:p>
    <w:p>
      <w:pPr>
        <w:spacing w:after="20" w:before="0"/>
        <w:ind w:firstLine="709"/>
      </w:pPr>
      <w:r>
        <w:rPr>
          <w:b w:val="0"/>
        </w:rPr>
        <w:t>Температура поверхности изоляции котла замерялась инфракрасным пирометром; потери тепла в окружающую среду q₅ определялись расчётом либо по нормам теплового расчёта в зависимости от нагрузки.</w:t>
      </w:r>
    </w:p>
    <w:p>
      <w:pPr>
        <w:spacing w:after="20" w:before="0"/>
        <w:ind w:firstLine="709"/>
      </w:pPr>
      <w:r>
        <w:rPr>
          <w:b w:val="0"/>
        </w:rPr>
        <w:t>КПД «брутто» при отсутствии химнедожога: ηбр = 100 – q₂ – q₅, %; средневзвешенный — осреднением результатов опытов; КПД «нетто»: ηнт = ηбр – qсн, %, где qсн — потери на собственные нужды (1 %).</w:t>
      </w:r>
    </w:p>
    <w:p>
      <w:pPr>
        <w:spacing w:after="20" w:before="0"/>
        <w:ind w:firstLine="709"/>
      </w:pPr>
      <w:r>
        <w:rPr>
          <w:b w:val="0"/>
        </w:rPr>
        <w:t>Теплопроизводительность: Q = G·Δt·10⁻³, Гкал/ч, где G — массовый расход воды через котёл, т/ч; Δt — нагрев воды в котле, °C.</w:t>
      </w:r>
    </w:p>
    <w:p>
      <w:pPr>
        <w:spacing w:after="40" w:before="0"/>
        <w:jc w:val="center"/>
      </w:pPr>
      <w:r>
        <w:rPr>
          <w:b/>
        </w:rPr>
        <w:t>5. Условия проведения испытаний</w:t>
      </w:r>
    </w:p>
    <w:p>
      <w:pPr>
        <w:spacing w:after="20" w:before="0"/>
        <w:ind w:firstLine="709"/>
      </w:pPr>
      <w:r>
        <w:rPr>
          <w:b w:val="0"/>
        </w:rPr>
        <w:t>–  В период испытаний обмуровка (изоляция) котла находилась в удовлетворительном состоянии.</w:t>
      </w:r>
    </w:p>
    <w:p>
      <w:pPr>
        <w:spacing w:after="20" w:before="0"/>
        <w:ind w:firstLine="709"/>
      </w:pPr>
      <w:r>
        <w:rPr>
          <w:b w:val="0"/>
        </w:rPr>
        <w:t>–  Все изменения нагрузок и переключения проводились сменным персоналом по указаниям наладчиков; визуальный контроль за процессом горения — через смотровые лючки.</w:t>
      </w:r>
    </w:p>
    <w:p>
      <w:pPr>
        <w:spacing w:after="20" w:before="0"/>
        <w:ind w:firstLine="709"/>
      </w:pPr>
      <w:r>
        <w:rPr>
          <w:b w:val="0"/>
        </w:rPr>
        <w:t>–  Замеры выполнялись в нескольких точках газохода; контрольные анализы — при глубине погружения зонда, соответствующей представительной точке по тарировке.</w:t>
      </w:r>
    </w:p>
    <w:p>
      <w:pPr>
        <w:spacing w:after="20" w:before="0"/>
        <w:ind w:firstLine="709"/>
      </w:pPr>
      <w:r>
        <w:rPr>
          <w:b w:val="0"/>
        </w:rPr>
        <w:t>–  На каждой нагрузке поддерживались постоянными: давление топлива перед горелкой, расход воды (пара) через котёл, разрежение в топке.</w:t>
      </w:r>
    </w:p>
    <w:p>
      <w:pPr>
        <w:spacing w:after="20" w:before="0"/>
        <w:ind w:firstLine="709"/>
      </w:pPr>
      <w:r>
        <w:rPr>
          <w:b w:val="0"/>
        </w:rPr>
        <w:t>–  Испытания проводились при стабилизации теплового режима (отклонения значений параметров отсутствовали); замеры выполнялись через каждые 15–20 минут, на каждом режиме — по 5–6 опытов.</w:t>
      </w:r>
    </w:p>
    <w:p>
      <w:pPr>
        <w:spacing w:after="40" w:before="0"/>
        <w:jc w:val="center"/>
      </w:pPr>
      <w:r>
        <w:rPr>
          <w:b/>
        </w:rPr>
        <w:t>6. Результаты испытаний</w:t>
      </w:r>
    </w:p>
    <w:p>
      <w:pPr>
        <w:spacing w:after="20" w:before="0"/>
        <w:ind w:firstLine="709"/>
      </w:pPr>
      <w:r>
        <w:rPr>
          <w:b w:val="0"/>
        </w:rPr>
        <w:t>Результаты испытаний приведены в режимной карте (Приложение 1) и журнале замеров.</w:t>
      </w:r>
    </w:p>
    <w:p>
      <w:pPr>
        <w:spacing w:after="40" w:before="0"/>
        <w:ind w:firstLine="709"/>
      </w:pPr>
      <w:r>
        <w:rPr>
          <w:b w:val="0"/>
        </w:rPr>
        <w:t>6.1. Диапазон исследованных нагрузок составил: Q = 0,24–0,46 Гкал/ч (0,28–0,54 МВт) или 47–90 % от номинальной.</w:t>
      </w:r>
    </w:p>
    <w:p>
      <w:pPr>
        <w:spacing w:after="40" w:before="0"/>
        <w:ind w:firstLine="709"/>
      </w:pPr>
      <w:r>
        <w:rPr>
          <w:b w:val="0"/>
        </w:rPr>
        <w:t>6.2. Во всем диапазоне нагрузок, рекомендованных для эксплуатации, сжигание природного газа происходит без химического недожога (содержание CO в уходящих газах отсутствует).</w:t>
      </w:r>
    </w:p>
    <w:p>
      <w:pPr>
        <w:spacing w:after="40" w:before="0"/>
        <w:ind w:firstLine="709"/>
      </w:pPr>
      <w:r>
        <w:rPr>
          <w:b w:val="0"/>
        </w:rPr>
        <w:t>6.3. Избытки воздуха за котлом в зависимости от нагрузки оказались на уровне: α = 1,3–1,15.</w:t>
      </w:r>
    </w:p>
    <w:p>
      <w:pPr>
        <w:spacing w:after="40" w:before="0"/>
        <w:ind w:firstLine="709"/>
      </w:pPr>
      <w:r>
        <w:rPr>
          <w:b w:val="0"/>
        </w:rPr>
        <w:t>6.4. Температуры уходящих газов за котлом составили: tух = 121–143 °C.</w:t>
      </w:r>
    </w:p>
    <w:p>
      <w:pPr>
        <w:spacing w:after="40" w:before="0"/>
        <w:ind w:firstLine="709"/>
      </w:pPr>
      <w:r>
        <w:rPr>
          <w:b w:val="0"/>
        </w:rPr>
        <w:t>6.5. КПД котла «брутто» в диапазоне испытанных нагрузок составил: ηбр = 90,5–91,9 %.</w:t>
      </w:r>
    </w:p>
    <w:p>
      <w:pPr>
        <w:spacing w:after="40" w:before="0"/>
        <w:ind w:firstLine="709"/>
      </w:pPr>
      <w:r>
        <w:rPr>
          <w:b w:val="0"/>
        </w:rPr>
        <w:t>6.6. Средневзвешенный КПД «брутто» котла оказался равным: ηбр.ср = 91,2 %.</w:t>
      </w:r>
    </w:p>
    <w:p>
      <w:pPr>
        <w:spacing w:after="40" w:before="0"/>
        <w:ind w:firstLine="709"/>
      </w:pPr>
      <w:r>
        <w:rPr>
          <w:b w:val="0"/>
        </w:rPr>
        <w:t>6.7. Потери тепла на собственные нужды котла принимаются равными 1 %. Среднеэксплуатационный КПД «нетто» составит: ηнт = 91,2 – 1 = 90,2 %.</w:t>
      </w:r>
    </w:p>
    <w:p>
      <w:pPr>
        <w:spacing w:after="40" w:before="0"/>
        <w:ind w:firstLine="709"/>
      </w:pPr>
      <w:r>
        <w:rPr>
          <w:b w:val="0"/>
        </w:rPr>
        <w:t>6.8. Удельный расход условного топлива, соответствующий КПД «нетто», определим по формуле bу = 142,86·100/ηнт:</w:t>
      </w:r>
    </w:p>
    <w:p>
      <w:pPr>
        <w:spacing w:after="40" w:before="0"/>
        <w:ind w:firstLine="709"/>
      </w:pPr>
      <w:r>
        <w:rPr>
          <w:b w:val="0"/>
        </w:rPr>
        <w:t>bу = 158,4 кг у.т./Гкал.</w:t>
      </w:r>
    </w:p>
    <w:p>
      <w:pPr>
        <w:spacing w:after="40" w:before="0"/>
        <w:ind w:firstLine="709"/>
      </w:pPr>
      <w:r>
        <w:rPr>
          <w:b w:val="0"/>
        </w:rPr>
        <w:t>6.9. Расход природного газа при работе котла в режимах по режимной карте — от 32 до 62 м³/ч.</w:t>
      </w:r>
    </w:p>
    <w:p>
      <w:pPr>
        <w:spacing w:after="40" w:before="0"/>
        <w:jc w:val="center"/>
      </w:pPr>
      <w:r>
        <w:rPr>
          <w:b/>
        </w:rPr>
        <w:t>7. Выводы и рекомендации</w:t>
      </w:r>
    </w:p>
    <w:p>
      <w:pPr>
        <w:spacing w:after="40" w:before="0"/>
      </w:pPr>
      <w:r>
        <w:rPr>
          <w:b/>
        </w:rPr>
        <w:t>Выводы</w:t>
      </w:r>
    </w:p>
    <w:p>
      <w:pPr>
        <w:spacing w:after="40" w:before="0"/>
        <w:ind w:firstLine="709"/>
      </w:pPr>
      <w:r>
        <w:rPr>
          <w:b w:val="0"/>
        </w:rPr>
        <w:t>7.1. Котёл устойчиво и надёжно работает в диапазоне нагрузок, рекомендованных в режимной карте (47–90 % от номинальной).</w:t>
      </w:r>
    </w:p>
    <w:p>
      <w:pPr>
        <w:spacing w:after="40" w:before="0"/>
        <w:ind w:firstLine="709"/>
      </w:pPr>
      <w:r>
        <w:rPr>
          <w:b w:val="0"/>
        </w:rPr>
        <w:t>7.2. Максимальная нагрузка котла при испытаниях составила: Q = 0,46 Гкал/ч (90 % от номинальной).</w:t>
      </w:r>
    </w:p>
    <w:p>
      <w:pPr>
        <w:spacing w:after="40" w:before="0"/>
        <w:ind w:firstLine="709"/>
      </w:pPr>
      <w:r>
        <w:rPr>
          <w:b w:val="0"/>
        </w:rPr>
        <w:t>7.3. КПД котла «брутто» в зависимости от нагрузки составил: 90,5–91,9 %; средневзвешенный КПД «брутто» — 91,2 %.</w:t>
      </w:r>
    </w:p>
    <w:p>
      <w:pPr>
        <w:spacing w:after="40" w:before="0"/>
        <w:ind w:firstLine="709"/>
      </w:pPr>
      <w:r>
        <w:rPr>
          <w:b w:val="0"/>
        </w:rPr>
        <w:t>7.4. Среднеэксплуатационный КПД «нетто» составил: 90,2 %.</w:t>
      </w:r>
    </w:p>
    <w:p>
      <w:pPr>
        <w:spacing w:after="40" w:before="0"/>
        <w:ind w:firstLine="709"/>
      </w:pPr>
      <w:r>
        <w:rPr>
          <w:b w:val="0"/>
        </w:rPr>
        <w:t>7.5. Удельный расход условного топлива оказался на уровне: bу = 158,4 кг у.т./Гкал.</w:t>
      </w:r>
    </w:p>
    <w:p>
      <w:pPr>
        <w:spacing w:after="40" w:before="0"/>
      </w:pPr>
      <w:r>
        <w:rPr>
          <w:b/>
        </w:rPr>
        <w:t>Рекомендации</w:t>
      </w:r>
    </w:p>
    <w:p>
      <w:pPr>
        <w:spacing w:after="40" w:before="0"/>
        <w:ind w:firstLine="709"/>
      </w:pPr>
      <w:r>
        <w:rPr>
          <w:b w:val="0"/>
        </w:rPr>
        <w:t>7.6. Для поддержания технико-экономических показателей работы котла на достигнутом при испытаниях уровне эксплуатацию вести в соответствии с выданной режимной картой (Приложение 1); регулировку предохранительного клапана выполнять на давление 1,25 от рабочего.</w:t>
      </w:r>
    </w:p>
    <w:p>
      <w:pPr>
        <w:spacing w:after="40" w:before="0"/>
        <w:ind w:firstLine="709"/>
      </w:pPr>
      <w:r>
        <w:rPr>
          <w:b w:val="0"/>
        </w:rPr>
        <w:t>7.7. Автоматику безопасности настроить (поддерживать настройки) согласно выданному заданию (Приложение 2).</w:t>
      </w:r>
    </w:p>
    <w:p>
      <w:pPr>
        <w:spacing w:after="40" w:before="0"/>
        <w:ind w:firstLine="709"/>
      </w:pPr>
      <w:r>
        <w:rPr>
          <w:b w:val="0"/>
        </w:rPr>
        <w:t>7.8. Следить за герметичностью газовоздушного тракта (присосы холодного воздуха увеличивают потери q₂ и снижают КПД).</w:t>
      </w:r>
    </w:p>
    <w:p>
      <w:pPr>
        <w:spacing w:after="40" w:before="0"/>
        <w:ind w:firstLine="709"/>
      </w:pPr>
      <w:r>
        <w:rPr>
          <w:b w:val="0"/>
        </w:rPr>
        <w:t>7.9. Периодически (не реже 1 раза в месяц) контролировать состав уходящих газов газоанализатором и корректировать режим горения по режимной карте.</w:t>
      </w:r>
    </w:p>
    <w:p>
      <w:pPr>
        <w:spacing w:after="40" w:before="0"/>
        <w:jc w:val="center"/>
      </w:pPr>
      <w:r>
        <w:rPr>
          <w:b/>
        </w:rPr>
        <w:t>8. Литература</w:t>
      </w:r>
    </w:p>
    <w:p>
      <w:pPr>
        <w:spacing w:after="20" w:before="0"/>
        <w:ind w:firstLine="709"/>
      </w:pPr>
      <w:r>
        <w:rPr>
          <w:b w:val="0"/>
        </w:rPr>
        <w:t>8.1. Тепловой расчет котельных агрегатов. Нормативный метод. «Энергия».</w:t>
      </w:r>
    </w:p>
    <w:p>
      <w:pPr>
        <w:spacing w:after="20" w:before="0"/>
        <w:ind w:firstLine="709"/>
      </w:pPr>
      <w:r>
        <w:rPr>
          <w:b w:val="0"/>
        </w:rPr>
        <w:t>8.2. М.Б. Равич. «Топливо и эффективность его использования». «Наука», М.</w:t>
      </w:r>
    </w:p>
    <w:p>
      <w:pPr>
        <w:spacing w:after="20" w:before="0"/>
        <w:ind w:firstLine="709"/>
      </w:pPr>
      <w:r>
        <w:rPr>
          <w:b w:val="0"/>
        </w:rPr>
        <w:t>8.3. Правила технической эксплуатации тепловых энергоустановок.</w:t>
      </w:r>
    </w:p>
    <w:p>
      <w:pPr>
        <w:spacing w:after="20" w:before="0"/>
        <w:ind w:firstLine="709"/>
      </w:pPr>
      <w:r>
        <w:rPr>
          <w:b w:val="0"/>
        </w:rPr>
        <w:t>8.4. Д.Я. Борщёв. Устройство и эксплуатация отопительных котельных малой мощности.</w:t>
      </w:r>
    </w:p>
    <w:sectPr w:rsidR="00FC693F" w:rsidRPr="0006063C" w:rsidSect="00034616">
      <w:pgSz w:w="12240" w:h="15840"/>
      <w:pgMar w:top="850" w:right="680" w:bottom="85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 w:before="0" w:line="240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