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парового котла типа ДКВР-10/13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Суворова, д. 79,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парового котла типа ДКВР-10/13 ст. №2 при сжигании природного газа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ДКВР-10/13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ДКВР-10/13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ДКВР-10/13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Паропроизводительность номинальная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Давление пара рабочее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пара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194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питательной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280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ГМГ-5м.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Давление и температура пара, питательной воды — по штатным приборам; паропроизводительность — по расходу пара (питательной воды).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D·(iпп – iпв)·10⁻³, Гкал/ч, где D — паропроизводительность, т/ч; iпп, iпв — энтальпии пара и питательной воды, ккал/кг.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D = 5,2–10 т/ч (Q = 1,68–5,16 Гкал/ч) или 32–97 %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1,54–1,45.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225–277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56,6–84,5 %.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70,6 %.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70,6 – 1 = 69,6 %.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205,3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368 до 758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(32–97 %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D = 10 т/ч (Q = 5,16 Гкал/ч; 97 %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56,6–84,5 %; средневзвешенный КПД «брутто» — 70,6 %.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69,6 %.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205,3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