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КВГМ-1,6-95 ст. №1,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с. Старая Ладога, пр. Волховский, 12а,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КВГМ-1,6-95 ст. №1 при сжигании природного газа в котельной по адресу: с. Старая Ладога, пр. Волховский, 12а,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КВГМ-1,6-95 ст. №1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с. Старая Ладога, пр. Волховский, 12а предназначена для покрытия тепловых нагрузок жилых и общественных зданий. В котельной эксплуатируется котлов — 2: ст. №1 (КВГМ-1,6-95, природный газ); ст. №2 (КВГМ-1,6-95,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КВГМ-1,6-95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КВГМ-1,6-95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1,6 / 1,38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0,8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155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ЕММА-С3 ПРОМА.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0,66–1,26 Гкал/ч (0,77–1,47 МВт) или 48–92 %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1,23–1.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112–134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92,2–97,9 %.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95,0 %.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95,0 – 1 = 94,0 %.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152,0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87 до 157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(48–92 %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1,26 Гкал/ч (92 %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92,2–97,9 %; средневзвешенный КПД «брутто» — 95,0 %.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94,0 %.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152,0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