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Ставан-250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дизельном топливе,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Иссад, мкр. ЛТЦ-4,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Ставан-250 ст. №2 при сжигании дизельном топливе в котельной по адресу: д. Иссад, мкр. ЛТЦ-4,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Ставан-250 ст. №2 проводились представителями ООО «Леноблтеплоснаб» в феврале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дизельном топливе,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Иссад, мкр. ЛТЦ-4 предназначена для покрытия тепловых нагрузок жилых и общественных зданий. В котельной установлено котлов — 2: ст. №1 (Ставан-250, дизельное топливо), ст. №2 (Ставан-250, дизельное топливо).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Ставан-250 ст. №2 при работе на дизельном топливе.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Ставан-250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 / 0,2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180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дизельное топливо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R25ABECO Ecoflam.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счётчика топлива.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Дизельное топливо. Теплота сгорания принималась по паспортам качества поставщика.</w:t>
      </w:r>
    </w:p>
    <w:p>
      <w:pPr>
        <w:spacing w:after="40"/>
        <w:ind w:firstLine="709"/>
      </w:pPr>
      <w:r>
        <w:rPr>
          <w:b w:val="0"/>
          <w:i w:val="0"/>
        </w:rPr>
        <w:t>Расход топлива определялся по показаниям счётчика (уровнемера расходного бака).</w:t>
      </w:r>
    </w:p>
    <w:p>
      <w:pPr>
        <w:spacing w:after="40"/>
        <w:ind w:firstLine="709"/>
      </w:pPr>
      <w:r>
        <w:rPr>
          <w:b w:val="0"/>
          <w:i w:val="0"/>
        </w:rPr>
        <w:t>Давление топлива перед форсункой определялось по штатному манометру на горелочном устройстве.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дизельного топлива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0,1–0,2 Гкал/ч (0,1–0,2 МВт) или 42–84 %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дизельного топлива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150–210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88,5–89 %.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88,8 %.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88,8 – 1 = 87,8 %.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162,8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дизельного топлива при работе котла в режимах по режимной карте — от 10 до 20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(42–84 %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0,2 Гкал/ч (84 %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88,5–89 %; средневзвешенный КПД «брутто» — 88,8 %.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87,8 %.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162,8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Ставан-250 ст. №2 (ном. 0,2 МВт / 0,2 Гкал/ч), тип горелки: R25ABECO Ecoflam, при работе на дизельном топливе, установленного в котельной по адресу: д. Иссад, мкр. ЛТЦ-4,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88,5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Ставан-250 ст. №2, эксплуатируемого в котельной по адресу: д. Иссад, мкр. ЛТЦ-4, при работе на дизельном топливе.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топлива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топлива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