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1,1 - 95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Павла Нечесанова д. 23- б,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1,1 - 95 ст. №2 при сжигании мазуте в котельной по адресу: с. Паша ул. Павла Нечесанова д. 23- б,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1,1 - 95 ст. №2 проводились представителями ООО «Леноблтеплоснаб» в феврале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Паша ул. Павла Нечесанова д. 23- б предназначена для покрытия тепловых нагрузок жилых и общественных зданий. В котельной установлено котлов — 2: ст. №1 (КВГМ 1,1 - 95, мазут), ст. №2 (КВГМ 1,1 - 95, 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1,1 - 95 ст. №2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1,1 - 95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0,4–0,8 Гкал/ч (0,4–0,9 МВт) или 18–35 %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86–86,5 %.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86,2 %.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167,6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46 до 91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(18–35 %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0,8 Гкал/ч (35 %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86–86,5 %; средневзвешенный КПД «брутто» — 86,2 %.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85,2 %.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1,1 - 95 ст. №2 (ном. 2,5 МВт / 2,1 Гкал/ч), тип горелки: по паспорту котла, при работе на мазуте, установленного в котельной по адресу: с. Паша ул. Павла Нечесанова д. 23- б,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166,1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1,1 - 95 ст. №2, эксплуатируемого в котельной по адресу: с. Паша ул. Павла Нечесанова д. 23- б,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