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КВм-1,0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КВм-1,0 ст. №2 при сжигании мазуте в котельной по адресу: д. Хвалово, д.137,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КВм-1,0 ст. №2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установлено котлов — 2: ст. №1 (КВм-1,0, мазут/угол), ст. №2 (КВм-1,0, мазут/угол).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КВм-1,0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КВм-1,0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 / 0,9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РГМГ-1.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0,3–0,7 Гкал/ч (0,4–0,8 МВт) или 40–79 %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1,38–1,22.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180–245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73,1–73,5 %.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73,3 %.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73,3 – 1 = 72,3 %.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197,6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50 до 100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(40–79 %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0,7 Гкал/ч (79 %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73,1–73,5 %; средневзвешенный КПД «брутто» — 73,3 %.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72,3 %.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197,6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КВм-1,0 ст. №2 (ном. 1 МВт / 0,9 Гкал/ч), тип горелки: РГМГ-1, при работе на мазуте, установленного в котельной по адресу: д. Хвалово, д.137,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5,6/4,5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73,1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198,1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КВм-1,0 ст. №2, эксплуатируемого в котельной по адресу: д. Хвалово, д.137,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