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8E"/>
          <w:sz w:val="32"/>
        </w:rPr>
        <w:t>TÀI LIỆU QUY TẮC NGHIỆP VỤ (BUSINESS RULES DOCUMENT)</w:t>
      </w:r>
    </w:p>
    <w:p>
      <w:pPr>
        <w:jc w:val="center"/>
      </w:pPr>
      <w:r>
        <w:rPr>
          <w:i/>
        </w:rPr>
        <w:t>Dự án: VGC Smart Draw - Hệ thống Bốc thăm BĐS Viglacera</w:t>
      </w:r>
    </w:p>
    <w:p>
      <w:pPr>
        <w:pStyle w:val="Heading1"/>
      </w:pPr>
      <w:r>
        <w:t>1. Mục đích tài liệu</w:t>
      </w:r>
    </w:p>
    <w:p>
      <w:r>
        <w:t>Tài liệu này quy định các quy tắc nghiệp vụ (Business Rules) áp dụng cho hệ thống VGC Smart Draw. Mục tiêu nhằm đảm bảo tính nhất quán trong thiết kế, lập trình và là căn cứ cho đội ngũ Kiểm thử (QC) xác nhận tính chính xác của phần mềm.</w:t>
      </w:r>
    </w:p>
    <w:p>
      <w:pPr>
        <w:pStyle w:val="Heading1"/>
      </w:pPr>
      <w:r>
        <w:t>2. Danh sách quy tắc nghiệp vụ tổng quát</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shd w:fill="E9EFF7"/>
          </w:tcPr>
          <w:p>
            <w:r>
              <w:rPr>
                <w:b/>
              </w:rPr>
              <w:t>Mã Quy Tắc</w:t>
            </w:r>
          </w:p>
        </w:tc>
        <w:tc>
          <w:tcPr>
            <w:tcW w:type="dxa" w:w="2880"/>
            <w:shd w:fill="E9EFF7"/>
          </w:tcPr>
          <w:p>
            <w:r>
              <w:rPr>
                <w:b/>
              </w:rPr>
              <w:t>Tên Quy Tắc</w:t>
            </w:r>
          </w:p>
        </w:tc>
        <w:tc>
          <w:tcPr>
            <w:tcW w:type="dxa" w:w="2880"/>
            <w:shd w:fill="E9EFF7"/>
          </w:tcPr>
          <w:p>
            <w:r>
              <w:rPr>
                <w:b/>
              </w:rPr>
              <w:t>Mô tả tóm tắt</w:t>
            </w:r>
          </w:p>
        </w:tc>
      </w:tr>
      <w:tr>
        <w:tc>
          <w:tcPr>
            <w:tcW w:type="dxa" w:w="2880"/>
          </w:tcPr>
          <w:p>
            <w:r>
              <w:t>BR-GEN-01</w:t>
            </w:r>
          </w:p>
        </w:tc>
        <w:tc>
          <w:tcPr>
            <w:tcW w:type="dxa" w:w="2880"/>
          </w:tcPr>
          <w:p>
            <w:r>
              <w:t>Tính minh bạch</w:t>
            </w:r>
          </w:p>
        </w:tc>
        <w:tc>
          <w:tcPr>
            <w:tcW w:type="dxa" w:w="2880"/>
          </w:tcPr>
          <w:p>
            <w:r>
              <w:t>Mọi kết quả bốc thăm phải được lưu vết (Log) và không thể sửa đổi sau khi đã công bố.</w:t>
            </w:r>
          </w:p>
        </w:tc>
      </w:tr>
      <w:tr>
        <w:tc>
          <w:tcPr>
            <w:tcW w:type="dxa" w:w="2880"/>
          </w:tcPr>
          <w:p>
            <w:r>
              <w:t>BR-GEN-02</w:t>
            </w:r>
          </w:p>
        </w:tc>
        <w:tc>
          <w:tcPr>
            <w:tcW w:type="dxa" w:w="2880"/>
          </w:tcPr>
          <w:p>
            <w:r>
              <w:t>Phân quyền bốc thăm</w:t>
            </w:r>
          </w:p>
        </w:tc>
        <w:tc>
          <w:tcPr>
            <w:tcW w:type="dxa" w:w="2880"/>
          </w:tcPr>
          <w:p>
            <w:r>
              <w:t>Chỉ Giám sát viên (Admin) mới có quyền kích hoạt vòng quay và bốc thăm hộ hồ sơ vắng mặt.</w:t>
            </w:r>
          </w:p>
        </w:tc>
      </w:tr>
      <w:tr>
        <w:tc>
          <w:tcPr>
            <w:tcW w:type="dxa" w:w="2880"/>
          </w:tcPr>
          <w:p>
            <w:r>
              <w:t>BR-GEN-03</w:t>
            </w:r>
          </w:p>
        </w:tc>
        <w:tc>
          <w:tcPr>
            <w:tcW w:type="dxa" w:w="2880"/>
          </w:tcPr>
          <w:p>
            <w:r>
              <w:t>Trạng thái duy nhất</w:t>
            </w:r>
          </w:p>
        </w:tc>
        <w:tc>
          <w:tcPr>
            <w:tcW w:type="dxa" w:w="2880"/>
          </w:tcPr>
          <w:p>
            <w:r>
              <w:t>Một hồ sơ chỉ có thể ở một trạng thái duy nhất trong một thời điểm (Chưa quay, Đã trúng, Trượt).</w:t>
            </w:r>
          </w:p>
        </w:tc>
      </w:tr>
    </w:tbl>
    <w:p>
      <w:pPr>
        <w:pStyle w:val="Heading1"/>
      </w:pPr>
      <w:r>
        <w:t>3. Quy tắc theo từng chức năng</w:t>
      </w:r>
    </w:p>
    <w:p>
      <w:pPr>
        <w:pStyle w:val="Heading2"/>
      </w:pPr>
      <w:r>
        <w:t>3.1 Thiết lập vòng quay (Setup)</w:t>
      </w:r>
    </w:p>
    <w:p>
      <w:r>
        <w:t>BR-ST-01: Một vòng quay phải xác định rõ Loại vòng quay (Ưu tiên Trúng, Ưu tiên Trúng/Trượt, Thông thường).</w:t>
      </w:r>
    </w:p>
    <w:p>
      <w:r>
        <w:t>BR-ST-02: Phải gán đúng danh sách hồ sơ (Participant IDs) và danh sách căn hộ tương ứng cho từng vòng.</w:t>
      </w:r>
    </w:p>
    <w:p>
      <w:pPr>
        <w:pStyle w:val="Heading2"/>
      </w:pPr>
      <w:r>
        <w:t>3.2 Giám sát và Điều phối (Monitor)</w:t>
      </w:r>
    </w:p>
    <w:p>
      <w:r>
        <w:t>BR-MN-01: Màn hình Monitor phải hiển thị thời gian thực (Real-time) danh sách hồ sơ đã điểm danh và chưa điểm danh.</w:t>
      </w:r>
    </w:p>
    <w:p>
      <w:r>
        <w:t>BR-MN-02: Cơ chế quay vắng mặt: Trong vòng Ưu tiên Trúng, nếu hồ sơ vắng mặt, Giám sát viên bấm 'Quay vắng mặt' để hệ thống tự động phân bổ căn hộ.</w:t>
      </w:r>
    </w:p>
    <w:p>
      <w:pPr>
        <w:pStyle w:val="Heading1"/>
      </w:pPr>
      <w:r>
        <w:t>4. Quy tắc kiểm tra dữ liệu đầu vào</w:t>
      </w:r>
    </w:p>
    <w:p>
      <w:r>
        <w:t>BR-VAL-01: CCCD/Hộ chiếu phải là duy nhất, không trùng lặp trong hệ thống.</w:t>
      </w:r>
    </w:p>
    <w:p>
      <w:r>
        <w:t>BR-VAL-02: Số điện thoại phải đúng định dạng 10 chữ số.</w:t>
      </w:r>
    </w:p>
    <w:p>
      <w:r>
        <w:t>BR-VAL-03: Mã hồ sơ phải bắt đầu bằng tiền tố 'HS' hoặc 'KC' tùy theo loại.</w:t>
      </w:r>
    </w:p>
    <w:p>
      <w:pPr>
        <w:pStyle w:val="Heading1"/>
      </w:pPr>
      <w:r>
        <w:t>5. Quy tắc xử lý dữ liệu</w:t>
      </w:r>
    </w:p>
    <w:p>
      <w:r>
        <w:t>BR-PROC-01: Phân bổ căn hộ: Sử dụng thuật toán ngẫu nhiên từ kho căn hộ còn trống. Sau khi gán, trạng thái căn hộ chuyển sang 'Đã bán'.</w:t>
      </w:r>
    </w:p>
    <w:p>
      <w:r>
        <w:t>BR-PROC-02: Ưu tiên bốc thăm: Các hồ sơ nhóm Ưu tiên 1-4 được xử lý trước, sau đó đến Ưu tiên 5 và cuối cùng là Thông thường.</w:t>
      </w:r>
    </w:p>
    <w:p>
      <w:pPr>
        <w:pStyle w:val="Heading1"/>
      </w:pPr>
      <w:r>
        <w:t>6. Quy tắc chuyển trạng thái</w:t>
      </w:r>
    </w:p>
    <w:p>
      <w:r>
        <w:t>Hồ sơ (Participant Status):</w:t>
      </w:r>
    </w:p>
    <w:p>
      <w:r>
        <w:t>- Khởi tạo -&gt; Chờ quay (Khi được gán vào vòng quay)</w:t>
      </w:r>
    </w:p>
    <w:p>
      <w:r>
        <w:t>- Chờ quay -&gt; Đang quay (Khi vòng quay bắt đầu)</w:t>
      </w:r>
    </w:p>
    <w:p>
      <w:r>
        <w:t>- Đang quay -&gt; Đã trúng/Trượt (Sau khi có kết quả)</w:t>
      </w:r>
    </w:p>
    <w:p>
      <w:pPr>
        <w:pStyle w:val="Heading1"/>
      </w:pPr>
      <w:r>
        <w:t>7. Quy tắc ngoại lệ</w:t>
      </w:r>
    </w:p>
    <w:p>
      <w:r>
        <w:t>BR-EX-01: Nếu hết căn hộ trước khi hết hồ sơ trong vòng Ưu tiên, các hồ sơ còn lại sẽ chuyển sang trạng thái 'Đợi đợt sau'.</w:t>
      </w:r>
    </w:p>
    <w:p>
      <w:r>
        <w:t>BR-EX-02: Lỗi kết nối mạng: Màn hình người dùng phải giữ nguyên trạng thái bốc thăm cho đến khi kết nối lại.</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Tài liệu lưu hành nội bộ - VGC Smart Draw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