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F8CF1" w14:textId="515A7E91" w:rsidR="00E90742" w:rsidRPr="003C6A2B" w:rsidRDefault="005743B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bookmarkStart w:id="0" w:name="_GoBack"/>
      <w:bookmarkEnd w:id="0"/>
      <w:r w:rsidRPr="003C6A2B">
        <w:rPr>
          <w:rFonts w:cstheme="minorHAnsi"/>
        </w:rPr>
        <w:t>目的：</w:t>
      </w:r>
      <w:r w:rsidR="00CA1EA2" w:rsidRPr="003C6A2B">
        <w:rPr>
          <w:rFonts w:cstheme="minorHAnsi"/>
        </w:rPr>
        <w:t xml:space="preserve"> </w:t>
      </w:r>
      <w:r w:rsidR="00873BBA">
        <w:rPr>
          <w:rFonts w:cstheme="minorHAnsi" w:hint="eastAsia"/>
        </w:rPr>
        <w:t>建立本實驗室對於使用者文件資料保密及所有權保護的規定。</w:t>
      </w:r>
    </w:p>
    <w:p w14:paraId="5F4E28C1" w14:textId="639EEB90" w:rsidR="00E05103" w:rsidRPr="00873BBA" w:rsidRDefault="005743BF" w:rsidP="00873BBA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權責：</w:t>
      </w:r>
      <w:r w:rsidR="00873BBA" w:rsidRPr="001361D3">
        <w:rPr>
          <w:rFonts w:hint="eastAsia"/>
          <w:szCs w:val="24"/>
        </w:rPr>
        <w:t>實驗室全體人員。</w:t>
      </w:r>
    </w:p>
    <w:p w14:paraId="547E5718" w14:textId="2F42C079" w:rsidR="0053335D" w:rsidRPr="003C6A2B" w:rsidRDefault="005743B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適用範圍：</w:t>
      </w:r>
      <w:r w:rsidR="00873BBA" w:rsidRPr="001361D3">
        <w:rPr>
          <w:rFonts w:hint="eastAsia"/>
          <w:szCs w:val="24"/>
        </w:rPr>
        <w:t>適</w:t>
      </w:r>
      <w:r w:rsidR="00873BBA" w:rsidRPr="00873BBA">
        <w:rPr>
          <w:rFonts w:cstheme="minorHAnsi" w:hint="eastAsia"/>
        </w:rPr>
        <w:t>用於實驗室所提供的檢驗服務，或配合其他機構從事實驗研究發展</w:t>
      </w:r>
      <w:r w:rsidR="00873BBA" w:rsidRPr="001361D3">
        <w:rPr>
          <w:rFonts w:hint="eastAsia"/>
          <w:szCs w:val="24"/>
        </w:rPr>
        <w:t>之事務。</w:t>
      </w:r>
    </w:p>
    <w:p w14:paraId="0DE00B8A" w14:textId="189110A7" w:rsidR="005743BF" w:rsidRPr="003C6A2B" w:rsidRDefault="005743B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定義</w:t>
      </w:r>
      <w:r w:rsidR="00D91A69" w:rsidRPr="003C6A2B">
        <w:rPr>
          <w:rFonts w:cstheme="minorHAnsi"/>
        </w:rPr>
        <w:t>與名詞解釋</w:t>
      </w:r>
      <w:r w:rsidRPr="003C6A2B">
        <w:rPr>
          <w:rFonts w:cstheme="minorHAnsi"/>
        </w:rPr>
        <w:t>：</w:t>
      </w:r>
      <w:r w:rsidR="00873BBA">
        <w:rPr>
          <w:rFonts w:cstheme="minorHAnsi" w:hint="eastAsia"/>
        </w:rPr>
        <w:t>無。</w:t>
      </w:r>
    </w:p>
    <w:p w14:paraId="6C059A1A" w14:textId="1AF47123" w:rsidR="00671BD9" w:rsidRPr="003C6A2B" w:rsidRDefault="00292141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作業說明：</w:t>
      </w:r>
    </w:p>
    <w:p w14:paraId="6AD0EC64" w14:textId="18B8B22E" w:rsidR="00167C2B" w:rsidRDefault="00873BBA" w:rsidP="00873BBA">
      <w:pPr>
        <w:pStyle w:val="af0"/>
        <w:numPr>
          <w:ilvl w:val="1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 w:hint="eastAsia"/>
          <w:szCs w:val="24"/>
        </w:rPr>
        <w:t>檢驗相關資料文件保密要求：</w:t>
      </w:r>
    </w:p>
    <w:p w14:paraId="00985EE3" w14:textId="5EBA67F6" w:rsidR="00873BBA" w:rsidRPr="00873BBA" w:rsidRDefault="00873BBA" w:rsidP="00873BBA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>
        <w:rPr>
          <w:rFonts w:hint="eastAsia"/>
          <w:szCs w:val="24"/>
        </w:rPr>
        <w:t>所有檢驗</w:t>
      </w:r>
      <w:r w:rsidRPr="001361D3">
        <w:rPr>
          <w:rFonts w:hint="eastAsia"/>
          <w:szCs w:val="24"/>
        </w:rPr>
        <w:t>結果之原始資料，應保留在實驗室作為追溯及管制用途。</w:t>
      </w:r>
    </w:p>
    <w:p w14:paraId="17AE0178" w14:textId="17A84CCB" w:rsidR="00873BBA" w:rsidRPr="00873BBA" w:rsidRDefault="00873BBA" w:rsidP="00873BBA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 w:hint="eastAsia"/>
          <w:szCs w:val="24"/>
        </w:rPr>
        <w:t>檢驗</w:t>
      </w:r>
      <w:r w:rsidRPr="00873BBA">
        <w:rPr>
          <w:rFonts w:asciiTheme="minorHAnsi" w:eastAsiaTheme="minorEastAsia" w:hAnsiTheme="minorHAnsi" w:cstheme="minorHAnsi" w:hint="eastAsia"/>
          <w:szCs w:val="24"/>
        </w:rPr>
        <w:t>報告經</w:t>
      </w:r>
      <w:r>
        <w:rPr>
          <w:rFonts w:asciiTheme="minorHAnsi" w:eastAsiaTheme="minorEastAsia" w:hAnsiTheme="minorHAnsi" w:cstheme="minorHAnsi" w:hint="eastAsia"/>
          <w:szCs w:val="24"/>
        </w:rPr>
        <w:t>報告簽署人</w:t>
      </w:r>
      <w:r w:rsidRPr="00873BBA">
        <w:rPr>
          <w:rFonts w:asciiTheme="minorHAnsi" w:eastAsiaTheme="minorEastAsia" w:hAnsiTheme="minorHAnsi" w:cstheme="minorHAnsi" w:hint="eastAsia"/>
          <w:szCs w:val="24"/>
        </w:rPr>
        <w:t>簽名後，</w:t>
      </w:r>
      <w:r>
        <w:rPr>
          <w:rFonts w:asciiTheme="minorHAnsi" w:eastAsiaTheme="minorEastAsia" w:hAnsiTheme="minorHAnsi" w:cstheme="minorHAnsi" w:hint="eastAsia"/>
          <w:szCs w:val="24"/>
        </w:rPr>
        <w:t>出具一份正式報告給予使用者，</w:t>
      </w:r>
      <w:r w:rsidRPr="00873BBA">
        <w:rPr>
          <w:rFonts w:asciiTheme="minorHAnsi" w:eastAsiaTheme="minorEastAsia" w:hAnsiTheme="minorHAnsi" w:cstheme="minorHAnsi" w:hint="eastAsia"/>
          <w:szCs w:val="24"/>
        </w:rPr>
        <w:t>實驗室得保留副本歸檔管制</w:t>
      </w:r>
      <w:r w:rsidR="00806576">
        <w:rPr>
          <w:rFonts w:asciiTheme="minorHAnsi" w:eastAsiaTheme="minorEastAsia" w:hAnsiTheme="minorHAnsi" w:cstheme="minorHAnsi" w:hint="eastAsia"/>
          <w:szCs w:val="24"/>
        </w:rPr>
        <w:t>，作為</w:t>
      </w:r>
      <w:r w:rsidR="00806576" w:rsidRPr="001361D3">
        <w:rPr>
          <w:rFonts w:hint="eastAsia"/>
          <w:szCs w:val="24"/>
        </w:rPr>
        <w:t>追溯及管制用途</w:t>
      </w:r>
      <w:r w:rsidR="00806576">
        <w:rPr>
          <w:rFonts w:hint="eastAsia"/>
          <w:szCs w:val="24"/>
        </w:rPr>
        <w:t>。院方以及實驗室有責任予以保密</w:t>
      </w:r>
      <w:r w:rsidRPr="00873BBA">
        <w:rPr>
          <w:rFonts w:asciiTheme="minorHAnsi" w:eastAsiaTheme="minorEastAsia" w:hAnsiTheme="minorHAnsi" w:cstheme="minorHAnsi" w:hint="eastAsia"/>
          <w:szCs w:val="24"/>
        </w:rPr>
        <w:t xml:space="preserve"> </w:t>
      </w:r>
      <w:r w:rsidR="00806576">
        <w:rPr>
          <w:rFonts w:asciiTheme="minorHAnsi" w:eastAsiaTheme="minorEastAsia" w:hAnsiTheme="minorHAnsi" w:cstheme="minorHAnsi" w:hint="eastAsia"/>
          <w:szCs w:val="24"/>
        </w:rPr>
        <w:t>，非經院方或實驗室主管同意，不得影印或以其他方式傳送至第三者。</w:t>
      </w:r>
    </w:p>
    <w:p w14:paraId="30333FA8" w14:textId="00E076C3" w:rsidR="00873BBA" w:rsidRDefault="00873BBA" w:rsidP="00873BBA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873BBA">
        <w:rPr>
          <w:rFonts w:asciiTheme="minorHAnsi" w:eastAsiaTheme="minorEastAsia" w:hAnsiTheme="minorHAnsi" w:cstheme="minorHAnsi" w:hint="eastAsia"/>
          <w:szCs w:val="24"/>
        </w:rPr>
        <w:t>當對外做技術性服務而涉及實驗室特有之測試與分析技術時，得要求對方簽署保密切結書。</w:t>
      </w:r>
    </w:p>
    <w:p w14:paraId="3E38CA9E" w14:textId="39557569" w:rsidR="00E23C3C" w:rsidRDefault="00E23C3C" w:rsidP="00E23C3C">
      <w:pPr>
        <w:pStyle w:val="af0"/>
        <w:numPr>
          <w:ilvl w:val="1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 w:hint="eastAsia"/>
          <w:szCs w:val="24"/>
        </w:rPr>
        <w:t>所有權的保護：</w:t>
      </w:r>
    </w:p>
    <w:p w14:paraId="1E861EDA" w14:textId="469AD6E4" w:rsidR="00E23C3C" w:rsidRDefault="00E23C3C" w:rsidP="00E23C3C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E23C3C">
        <w:rPr>
          <w:rFonts w:asciiTheme="minorHAnsi" w:eastAsiaTheme="minorEastAsia" w:hAnsiTheme="minorHAnsi" w:cstheme="minorHAnsi" w:hint="eastAsia"/>
          <w:szCs w:val="24"/>
        </w:rPr>
        <w:t>實驗室與其他機構如有共同合作研發新產品、新技術或有技術移轉時，雙方得簽訂合約以界定所有權之保護及保密措施，以維護彼此的智慧財產權。</w:t>
      </w:r>
    </w:p>
    <w:p w14:paraId="3D32D2B4" w14:textId="5DD8375D" w:rsidR="00E23C3C" w:rsidRDefault="00E23C3C" w:rsidP="00E23C3C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 w:hint="eastAsia"/>
          <w:szCs w:val="24"/>
        </w:rPr>
        <w:t>實驗室參與研究、獨立發展檢驗與分析技術，當技術轉移至其他機構時，應簽訂合約以保障實驗室的所有權。</w:t>
      </w:r>
    </w:p>
    <w:p w14:paraId="4AD0CD04" w14:textId="51594453" w:rsidR="00E23C3C" w:rsidRPr="00E23C3C" w:rsidRDefault="00E23C3C" w:rsidP="00E23C3C">
      <w:pPr>
        <w:pStyle w:val="af0"/>
        <w:numPr>
          <w:ilvl w:val="1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1361D3">
        <w:rPr>
          <w:rFonts w:hint="eastAsia"/>
          <w:szCs w:val="24"/>
        </w:rPr>
        <w:t>處理對策與執行</w:t>
      </w:r>
      <w:r>
        <w:rPr>
          <w:rFonts w:hint="eastAsia"/>
          <w:szCs w:val="24"/>
        </w:rPr>
        <w:t>：</w:t>
      </w:r>
    </w:p>
    <w:p w14:paraId="689F0B07" w14:textId="69A240F9" w:rsidR="00E23C3C" w:rsidRDefault="00E23C3C" w:rsidP="00E23C3C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 w:hint="eastAsia"/>
          <w:szCs w:val="24"/>
        </w:rPr>
        <w:t>實驗室的所有檢驗結果與報告須建檔管理，以利追溯與管制。</w:t>
      </w:r>
    </w:p>
    <w:p w14:paraId="53880667" w14:textId="2A5E6BA1" w:rsidR="00E23C3C" w:rsidRDefault="00E23C3C" w:rsidP="00E23C3C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 w:hint="eastAsia"/>
          <w:szCs w:val="24"/>
        </w:rPr>
        <w:t>實驗室內的所有檢驗結果、分析資料、檢驗報告等，實驗室人員皆不得以任何不當方式取得、使用、外流以及公布，不得違反院方之相關保密辦法。</w:t>
      </w:r>
    </w:p>
    <w:p w14:paraId="0353D80F" w14:textId="69CED70B" w:rsidR="00E23C3C" w:rsidRPr="00E23C3C" w:rsidRDefault="00E23C3C" w:rsidP="00E23C3C">
      <w:pPr>
        <w:pStyle w:val="aa"/>
        <w:numPr>
          <w:ilvl w:val="2"/>
          <w:numId w:val="4"/>
        </w:numPr>
        <w:spacing w:beforeLines="50" w:before="180"/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當使用者</w:t>
      </w:r>
      <w:r w:rsidRPr="00E23C3C">
        <w:rPr>
          <w:rFonts w:cstheme="minorHAnsi" w:hint="eastAsia"/>
          <w:szCs w:val="24"/>
        </w:rPr>
        <w:t>要求補發</w:t>
      </w:r>
      <w:r>
        <w:rPr>
          <w:rFonts w:cstheme="minorHAnsi" w:hint="eastAsia"/>
          <w:szCs w:val="24"/>
        </w:rPr>
        <w:t>測試結果報告時，應依照</w:t>
      </w:r>
      <w:r>
        <w:rPr>
          <w:rFonts w:asciiTheme="minorEastAsia" w:hAnsiTheme="minorEastAsia" w:cstheme="minorHAnsi" w:hint="eastAsia"/>
          <w:szCs w:val="24"/>
        </w:rPr>
        <w:t>「</w:t>
      </w:r>
      <w:r>
        <w:rPr>
          <w:rFonts w:asciiTheme="minorEastAsia" w:hAnsiTheme="minorEastAsia" w:hint="eastAsia"/>
        </w:rPr>
        <w:t>報告審查與通報作業標準書</w:t>
      </w:r>
      <w:r>
        <w:rPr>
          <w:rFonts w:cstheme="minorHAnsi" w:hint="eastAsia"/>
        </w:rPr>
        <w:t>QC02-001</w:t>
      </w:r>
      <w:r>
        <w:rPr>
          <w:rFonts w:asciiTheme="minorEastAsia" w:hAnsiTheme="minorEastAsia" w:cstheme="minorHAnsi" w:hint="eastAsia"/>
          <w:szCs w:val="24"/>
        </w:rPr>
        <w:t>」</w:t>
      </w:r>
      <w:r w:rsidRPr="00E23C3C">
        <w:rPr>
          <w:rFonts w:cstheme="minorHAnsi" w:hint="eastAsia"/>
          <w:szCs w:val="24"/>
        </w:rPr>
        <w:t>進行報告補發作業。</w:t>
      </w:r>
    </w:p>
    <w:p w14:paraId="118758EA" w14:textId="77777777" w:rsidR="004D7CAF" w:rsidRPr="003C6A2B" w:rsidRDefault="004D7CA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參考文件：</w:t>
      </w:r>
    </w:p>
    <w:p w14:paraId="106AC601" w14:textId="77777777" w:rsidR="004D7CAF" w:rsidRPr="003C6A2B" w:rsidRDefault="004D7CAF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ISO 15189</w:t>
      </w:r>
    </w:p>
    <w:p w14:paraId="6B3AC24B" w14:textId="77777777" w:rsidR="007F107B" w:rsidRPr="003C6A2B" w:rsidRDefault="007F107B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lastRenderedPageBreak/>
        <w:t>醫學領域病理實驗室技術指引</w:t>
      </w:r>
      <w:r w:rsidRPr="003C6A2B">
        <w:rPr>
          <w:rFonts w:cstheme="minorHAnsi"/>
        </w:rPr>
        <w:t xml:space="preserve"> TAF-CNLA-G41</w:t>
      </w:r>
    </w:p>
    <w:p w14:paraId="483C9E59" w14:textId="41ABCBA6" w:rsidR="007F107B" w:rsidRPr="003C6A2B" w:rsidRDefault="007F107B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台灣病理學會分子病理認證基準</w:t>
      </w:r>
    </w:p>
    <w:p w14:paraId="589393C6" w14:textId="06B71F55" w:rsidR="00267E56" w:rsidRDefault="00267E56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紀錄管制程序書</w:t>
      </w:r>
      <w:r w:rsidRPr="003C6A2B">
        <w:rPr>
          <w:rFonts w:cstheme="minorHAnsi"/>
        </w:rPr>
        <w:t>QA02</w:t>
      </w:r>
    </w:p>
    <w:p w14:paraId="3A39C5A3" w14:textId="06F86AC8" w:rsidR="00E23C3C" w:rsidRPr="003C6A2B" w:rsidRDefault="00E23C3C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asciiTheme="minorEastAsia" w:hAnsiTheme="minorEastAsia" w:hint="eastAsia"/>
        </w:rPr>
        <w:t>報告審查與通報作業標準書</w:t>
      </w:r>
      <w:r>
        <w:rPr>
          <w:rFonts w:cstheme="minorHAnsi" w:hint="eastAsia"/>
        </w:rPr>
        <w:t>QC02-001</w:t>
      </w:r>
    </w:p>
    <w:p w14:paraId="10BC27FD" w14:textId="2EDA5B93" w:rsidR="00167C2B" w:rsidRPr="00E16FB8" w:rsidRDefault="004D7CAF" w:rsidP="00E16FB8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相關文件與表單：</w:t>
      </w:r>
      <w:r w:rsidR="00E16FB8">
        <w:rPr>
          <w:rFonts w:cstheme="minorHAnsi" w:hint="eastAsia"/>
        </w:rPr>
        <w:t>無。</w:t>
      </w:r>
    </w:p>
    <w:p w14:paraId="4E64464A" w14:textId="7165EADF" w:rsidR="00167C2B" w:rsidRPr="003C6A2B" w:rsidRDefault="00167C2B" w:rsidP="009A205A">
      <w:pPr>
        <w:widowControl/>
        <w:jc w:val="both"/>
        <w:rPr>
          <w:rFonts w:cstheme="minorHAnsi"/>
        </w:rPr>
      </w:pPr>
    </w:p>
    <w:sectPr w:rsidR="00167C2B" w:rsidRPr="003C6A2B" w:rsidSect="00836606">
      <w:headerReference w:type="default" r:id="rId8"/>
      <w:pgSz w:w="11906" w:h="16838" w:code="9"/>
      <w:pgMar w:top="1134" w:right="1134" w:bottom="1134" w:left="1418" w:header="680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4FE8E" w14:textId="77777777" w:rsidR="005527F0" w:rsidRDefault="005527F0" w:rsidP="00836606">
      <w:r>
        <w:separator/>
      </w:r>
    </w:p>
  </w:endnote>
  <w:endnote w:type="continuationSeparator" w:id="0">
    <w:p w14:paraId="3B0D2BAD" w14:textId="77777777" w:rsidR="005527F0" w:rsidRDefault="005527F0" w:rsidP="0083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23992" w14:textId="77777777" w:rsidR="005527F0" w:rsidRDefault="005527F0" w:rsidP="00836606">
      <w:r>
        <w:separator/>
      </w:r>
    </w:p>
  </w:footnote>
  <w:footnote w:type="continuationSeparator" w:id="0">
    <w:p w14:paraId="6CC61684" w14:textId="77777777" w:rsidR="005527F0" w:rsidRDefault="005527F0" w:rsidP="0083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Look w:val="04A0" w:firstRow="1" w:lastRow="0" w:firstColumn="1" w:lastColumn="0" w:noHBand="0" w:noVBand="1"/>
    </w:tblPr>
    <w:tblGrid>
      <w:gridCol w:w="1561"/>
      <w:gridCol w:w="1561"/>
      <w:gridCol w:w="954"/>
      <w:gridCol w:w="600"/>
      <w:gridCol w:w="671"/>
      <w:gridCol w:w="886"/>
      <w:gridCol w:w="1545"/>
      <w:gridCol w:w="1546"/>
    </w:tblGrid>
    <w:tr w:rsidR="00597D45" w14:paraId="5E1C74C1" w14:textId="77777777" w:rsidTr="00597D45">
      <w:trPr>
        <w:trHeight w:val="535"/>
      </w:trPr>
      <w:tc>
        <w:tcPr>
          <w:tcW w:w="4077" w:type="dxa"/>
          <w:gridSpan w:val="3"/>
          <w:vMerge w:val="restart"/>
          <w:tcBorders>
            <w:top w:val="double" w:sz="4" w:space="0" w:color="auto"/>
            <w:left w:val="double" w:sz="4" w:space="0" w:color="auto"/>
          </w:tcBorders>
          <w:vAlign w:val="center"/>
        </w:tcPr>
        <w:p w14:paraId="069956E2" w14:textId="77777777" w:rsidR="00597D45" w:rsidRDefault="00597D45" w:rsidP="00597D45">
          <w:pPr>
            <w:jc w:val="both"/>
          </w:pPr>
          <w:r>
            <w:rPr>
              <w:noProof/>
            </w:rPr>
            <w:drawing>
              <wp:inline distT="0" distB="0" distL="0" distR="0" wp14:anchorId="375012F4" wp14:editId="15F3EEDD">
                <wp:extent cx="2362200" cy="504825"/>
                <wp:effectExtent l="0" t="0" r="0" b="9525"/>
                <wp:docPr id="1" name="圖片 1" descr="黑色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黑色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gridSpan w:val="2"/>
          <w:tcBorders>
            <w:top w:val="double" w:sz="4" w:space="0" w:color="auto"/>
          </w:tcBorders>
          <w:vAlign w:val="center"/>
        </w:tcPr>
        <w:p w14:paraId="43A6DE30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文件名稱</w:t>
          </w:r>
        </w:p>
      </w:tc>
      <w:tc>
        <w:tcPr>
          <w:tcW w:w="4012" w:type="dxa"/>
          <w:gridSpan w:val="3"/>
          <w:tcBorders>
            <w:top w:val="double" w:sz="4" w:space="0" w:color="auto"/>
            <w:right w:val="double" w:sz="4" w:space="0" w:color="auto"/>
          </w:tcBorders>
          <w:vAlign w:val="center"/>
        </w:tcPr>
        <w:p w14:paraId="73A6B937" w14:textId="63CFDCB0" w:rsidR="00597D45" w:rsidRDefault="008B782B" w:rsidP="00597D45">
          <w:pPr>
            <w:jc w:val="both"/>
          </w:pPr>
          <w:r w:rsidRPr="008B782B">
            <w:rPr>
              <w:rFonts w:hint="eastAsia"/>
            </w:rPr>
            <w:t>保密管制程序書</w:t>
          </w:r>
        </w:p>
      </w:tc>
    </w:tr>
    <w:tr w:rsidR="00597D45" w14:paraId="5877EBD1" w14:textId="77777777" w:rsidTr="00597D45">
      <w:trPr>
        <w:trHeight w:val="535"/>
      </w:trPr>
      <w:tc>
        <w:tcPr>
          <w:tcW w:w="4077" w:type="dxa"/>
          <w:gridSpan w:val="3"/>
          <w:vMerge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04B80109" w14:textId="77777777" w:rsidR="00597D45" w:rsidRDefault="00597D45" w:rsidP="00597D45">
          <w:pPr>
            <w:jc w:val="both"/>
          </w:pPr>
        </w:p>
      </w:tc>
      <w:tc>
        <w:tcPr>
          <w:tcW w:w="1276" w:type="dxa"/>
          <w:gridSpan w:val="2"/>
          <w:tcBorders>
            <w:bottom w:val="double" w:sz="4" w:space="0" w:color="auto"/>
          </w:tcBorders>
          <w:vAlign w:val="center"/>
        </w:tcPr>
        <w:p w14:paraId="220C5F7B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文件編號</w:t>
          </w:r>
        </w:p>
      </w:tc>
      <w:tc>
        <w:tcPr>
          <w:tcW w:w="4012" w:type="dxa"/>
          <w:gridSpan w:val="3"/>
          <w:tcBorders>
            <w:bottom w:val="double" w:sz="4" w:space="0" w:color="auto"/>
            <w:right w:val="double" w:sz="4" w:space="0" w:color="auto"/>
          </w:tcBorders>
          <w:vAlign w:val="center"/>
        </w:tcPr>
        <w:p w14:paraId="4FB7C7C7" w14:textId="16E0C8EB" w:rsidR="00597D45" w:rsidRDefault="008B782B" w:rsidP="00597D45">
          <w:pPr>
            <w:jc w:val="both"/>
          </w:pPr>
          <w:r w:rsidRPr="008B782B">
            <w:t>AD05</w:t>
          </w:r>
        </w:p>
      </w:tc>
    </w:tr>
    <w:tr w:rsidR="00597D45" w14:paraId="5DCBF1CE" w14:textId="77777777" w:rsidTr="00836606">
      <w:trPr>
        <w:trHeight w:val="382"/>
      </w:trPr>
      <w:tc>
        <w:tcPr>
          <w:tcW w:w="1560" w:type="dxa"/>
          <w:tcBorders>
            <w:top w:val="double" w:sz="4" w:space="0" w:color="auto"/>
            <w:left w:val="double" w:sz="4" w:space="0" w:color="auto"/>
          </w:tcBorders>
          <w:vAlign w:val="center"/>
        </w:tcPr>
        <w:p w14:paraId="0B9E988E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制訂日期</w:t>
          </w:r>
        </w:p>
      </w:tc>
      <w:tc>
        <w:tcPr>
          <w:tcW w:w="1561" w:type="dxa"/>
          <w:tcBorders>
            <w:top w:val="double" w:sz="4" w:space="0" w:color="auto"/>
          </w:tcBorders>
          <w:vAlign w:val="center"/>
        </w:tcPr>
        <w:p w14:paraId="5E4F3B14" w14:textId="43F9AAEE" w:rsidR="00597D45" w:rsidRDefault="004541CA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209A50A6" w14:textId="77777777" w:rsidR="00597D45" w:rsidRDefault="00597D45" w:rsidP="00836606">
          <w:pPr>
            <w:jc w:val="center"/>
          </w:pPr>
          <w:r>
            <w:rPr>
              <w:rFonts w:hint="eastAsia"/>
            </w:rPr>
            <w:t>修訂日期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5B14B6BC" w14:textId="693AD0A6" w:rsidR="00597D45" w:rsidRDefault="004541CA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tcBorders>
            <w:top w:val="double" w:sz="4" w:space="0" w:color="auto"/>
            <w:right w:val="single" w:sz="4" w:space="0" w:color="auto"/>
          </w:tcBorders>
          <w:vAlign w:val="center"/>
        </w:tcPr>
        <w:p w14:paraId="44B3409C" w14:textId="77777777" w:rsidR="00597D45" w:rsidRDefault="00597D45" w:rsidP="00836606">
          <w:pPr>
            <w:jc w:val="center"/>
          </w:pPr>
          <w:r>
            <w:rPr>
              <w:rFonts w:hint="eastAsia"/>
            </w:rPr>
            <w:t>版次</w:t>
          </w:r>
        </w:p>
      </w:tc>
      <w:tc>
        <w:tcPr>
          <w:tcW w:w="1561" w:type="dxa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2BC2733F" w14:textId="77777777" w:rsidR="00597D45" w:rsidRDefault="007D2A35" w:rsidP="00836606">
          <w:pPr>
            <w:jc w:val="center"/>
          </w:pPr>
          <w:r>
            <w:rPr>
              <w:rFonts w:hint="eastAsia"/>
            </w:rPr>
            <w:t>1.0</w:t>
          </w:r>
        </w:p>
      </w:tc>
    </w:tr>
    <w:tr w:rsidR="00597D45" w14:paraId="3C43D7E2" w14:textId="77777777" w:rsidTr="00836606">
      <w:trPr>
        <w:trHeight w:val="382"/>
      </w:trPr>
      <w:tc>
        <w:tcPr>
          <w:tcW w:w="1560" w:type="dxa"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74085555" w14:textId="77777777" w:rsidR="00597D45" w:rsidRDefault="00597D45" w:rsidP="00836606">
          <w:pPr>
            <w:jc w:val="center"/>
          </w:pPr>
          <w:r>
            <w:rPr>
              <w:rFonts w:hint="eastAsia"/>
            </w:rPr>
            <w:t>核准</w:t>
          </w:r>
        </w:p>
      </w:tc>
      <w:tc>
        <w:tcPr>
          <w:tcW w:w="1561" w:type="dxa"/>
          <w:tcBorders>
            <w:bottom w:val="double" w:sz="4" w:space="0" w:color="auto"/>
          </w:tcBorders>
          <w:vAlign w:val="center"/>
        </w:tcPr>
        <w:p w14:paraId="7EBE947D" w14:textId="4B8B484D" w:rsidR="00597D45" w:rsidRDefault="004541CA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70536DED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修</w:t>
          </w:r>
          <w:r>
            <w:rPr>
              <w:rFonts w:hint="eastAsia"/>
            </w:rPr>
            <w:t>)</w:t>
          </w:r>
          <w:r>
            <w:rPr>
              <w:rFonts w:hint="eastAsia"/>
            </w:rPr>
            <w:t>訂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4BAD1A4D" w14:textId="38A74AF6" w:rsidR="00597D45" w:rsidRDefault="004541CA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4AD6E9E4" w14:textId="77777777" w:rsidR="00597D45" w:rsidRDefault="00597D45" w:rsidP="00836606">
          <w:pPr>
            <w:jc w:val="center"/>
          </w:pPr>
          <w:r>
            <w:rPr>
              <w:rFonts w:hint="eastAsia"/>
            </w:rPr>
            <w:t>頁數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總頁數</w:t>
          </w:r>
        </w:p>
      </w:tc>
      <w:tc>
        <w:tcPr>
          <w:tcW w:w="1561" w:type="dxa"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1D7BB94" w14:textId="778CE13D" w:rsidR="00597D45" w:rsidRDefault="00597D45" w:rsidP="00836606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16FB8" w:rsidRPr="00E16FB8">
            <w:rPr>
              <w:noProof/>
              <w:lang w:val="zh-TW"/>
            </w:rPr>
            <w:t>2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r w:rsidR="005527F0">
            <w:rPr>
              <w:noProof/>
            </w:rPr>
            <w:fldChar w:fldCharType="begin"/>
          </w:r>
          <w:r w:rsidR="005527F0">
            <w:rPr>
              <w:noProof/>
            </w:rPr>
            <w:instrText xml:space="preserve"> NUMPAGES  \* Arabic  \* MERGEFORMAT </w:instrText>
          </w:r>
          <w:r w:rsidR="005527F0">
            <w:rPr>
              <w:noProof/>
            </w:rPr>
            <w:fldChar w:fldCharType="separate"/>
          </w:r>
          <w:r w:rsidR="00E16FB8">
            <w:rPr>
              <w:noProof/>
            </w:rPr>
            <w:t>2</w:t>
          </w:r>
          <w:r w:rsidR="005527F0">
            <w:rPr>
              <w:noProof/>
            </w:rPr>
            <w:fldChar w:fldCharType="end"/>
          </w:r>
        </w:p>
      </w:tc>
    </w:tr>
  </w:tbl>
  <w:p w14:paraId="11BDDF02" w14:textId="77777777" w:rsidR="00597D45" w:rsidRDefault="00597D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2C7"/>
    <w:multiLevelType w:val="multilevel"/>
    <w:tmpl w:val="B738977E"/>
    <w:lvl w:ilvl="0">
      <w:start w:val="1"/>
      <w:numFmt w:val="taiwaneseCountingThousand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DF6C49"/>
    <w:multiLevelType w:val="multilevel"/>
    <w:tmpl w:val="902A210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04C77"/>
    <w:multiLevelType w:val="multilevel"/>
    <w:tmpl w:val="811EE3A2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907" w:hanging="51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A460174"/>
    <w:multiLevelType w:val="multilevel"/>
    <w:tmpl w:val="0F30EE8C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58"/>
        </w:tabs>
        <w:ind w:left="1758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495" w:hanging="12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141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AA12D19"/>
    <w:multiLevelType w:val="multilevel"/>
    <w:tmpl w:val="242C263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992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11"/>
        </w:tabs>
        <w:ind w:left="2835" w:hanging="1134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8F21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766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84236AD"/>
    <w:multiLevelType w:val="multilevel"/>
    <w:tmpl w:val="915C0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D8C74DE"/>
    <w:multiLevelType w:val="hybridMultilevel"/>
    <w:tmpl w:val="F1A03A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06"/>
    <w:rsid w:val="000052F3"/>
    <w:rsid w:val="000237C2"/>
    <w:rsid w:val="000315C0"/>
    <w:rsid w:val="00035E17"/>
    <w:rsid w:val="00071D4A"/>
    <w:rsid w:val="000B0FCF"/>
    <w:rsid w:val="000D2218"/>
    <w:rsid w:val="001122E9"/>
    <w:rsid w:val="0011661F"/>
    <w:rsid w:val="001533AE"/>
    <w:rsid w:val="00167C2B"/>
    <w:rsid w:val="001C7900"/>
    <w:rsid w:val="001D4550"/>
    <w:rsid w:val="001E22E4"/>
    <w:rsid w:val="00205B61"/>
    <w:rsid w:val="00243FA3"/>
    <w:rsid w:val="00267E56"/>
    <w:rsid w:val="00292141"/>
    <w:rsid w:val="002F40B9"/>
    <w:rsid w:val="003321CB"/>
    <w:rsid w:val="003B3623"/>
    <w:rsid w:val="003C6A2B"/>
    <w:rsid w:val="003D419F"/>
    <w:rsid w:val="003F554B"/>
    <w:rsid w:val="00401C1E"/>
    <w:rsid w:val="004541CA"/>
    <w:rsid w:val="00463577"/>
    <w:rsid w:val="00466BCE"/>
    <w:rsid w:val="00493BE5"/>
    <w:rsid w:val="004D7CAF"/>
    <w:rsid w:val="004F072F"/>
    <w:rsid w:val="004F5F26"/>
    <w:rsid w:val="00522812"/>
    <w:rsid w:val="0053335D"/>
    <w:rsid w:val="005527F0"/>
    <w:rsid w:val="00561941"/>
    <w:rsid w:val="005743BF"/>
    <w:rsid w:val="00585698"/>
    <w:rsid w:val="00597D45"/>
    <w:rsid w:val="005B2376"/>
    <w:rsid w:val="005E46FB"/>
    <w:rsid w:val="00626051"/>
    <w:rsid w:val="00632321"/>
    <w:rsid w:val="0064313B"/>
    <w:rsid w:val="006566AC"/>
    <w:rsid w:val="00671BD9"/>
    <w:rsid w:val="006D7FAE"/>
    <w:rsid w:val="00714F83"/>
    <w:rsid w:val="007162B0"/>
    <w:rsid w:val="00751AA0"/>
    <w:rsid w:val="007713EE"/>
    <w:rsid w:val="007A44A0"/>
    <w:rsid w:val="007B5FD3"/>
    <w:rsid w:val="007D2A35"/>
    <w:rsid w:val="007F107B"/>
    <w:rsid w:val="007F49F9"/>
    <w:rsid w:val="00806576"/>
    <w:rsid w:val="00836606"/>
    <w:rsid w:val="008611BD"/>
    <w:rsid w:val="0086292B"/>
    <w:rsid w:val="00873BBA"/>
    <w:rsid w:val="008B37BC"/>
    <w:rsid w:val="008B782B"/>
    <w:rsid w:val="008D015F"/>
    <w:rsid w:val="008F0C5D"/>
    <w:rsid w:val="0090524F"/>
    <w:rsid w:val="00933F31"/>
    <w:rsid w:val="00936957"/>
    <w:rsid w:val="00971767"/>
    <w:rsid w:val="009943B3"/>
    <w:rsid w:val="009A1D51"/>
    <w:rsid w:val="009A205A"/>
    <w:rsid w:val="009C174D"/>
    <w:rsid w:val="00A36881"/>
    <w:rsid w:val="00A54E56"/>
    <w:rsid w:val="00AD7D2A"/>
    <w:rsid w:val="00B2169B"/>
    <w:rsid w:val="00B2755F"/>
    <w:rsid w:val="00B34744"/>
    <w:rsid w:val="00B54A53"/>
    <w:rsid w:val="00B6264C"/>
    <w:rsid w:val="00B67938"/>
    <w:rsid w:val="00B931E9"/>
    <w:rsid w:val="00BA1B82"/>
    <w:rsid w:val="00C1475A"/>
    <w:rsid w:val="00CA1EA2"/>
    <w:rsid w:val="00CA6780"/>
    <w:rsid w:val="00CC37FF"/>
    <w:rsid w:val="00CC3CEB"/>
    <w:rsid w:val="00D2445B"/>
    <w:rsid w:val="00D4223B"/>
    <w:rsid w:val="00D64011"/>
    <w:rsid w:val="00D64DC3"/>
    <w:rsid w:val="00D82C8E"/>
    <w:rsid w:val="00D91A69"/>
    <w:rsid w:val="00DB1A03"/>
    <w:rsid w:val="00DF68A5"/>
    <w:rsid w:val="00E04FD1"/>
    <w:rsid w:val="00E05103"/>
    <w:rsid w:val="00E16FB8"/>
    <w:rsid w:val="00E23C3C"/>
    <w:rsid w:val="00E32624"/>
    <w:rsid w:val="00E82C37"/>
    <w:rsid w:val="00E90742"/>
    <w:rsid w:val="00F05736"/>
    <w:rsid w:val="00F2232F"/>
    <w:rsid w:val="00F53D63"/>
    <w:rsid w:val="00F64D85"/>
    <w:rsid w:val="00FA77F5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A8D87"/>
  <w15:docId w15:val="{5FB1992B-D2D6-4644-95FD-58CDE28B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6606"/>
    <w:rPr>
      <w:sz w:val="20"/>
      <w:szCs w:val="20"/>
    </w:rPr>
  </w:style>
  <w:style w:type="paragraph" w:styleId="a5">
    <w:name w:val="footer"/>
    <w:basedOn w:val="a"/>
    <w:link w:val="a6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6606"/>
    <w:rPr>
      <w:sz w:val="20"/>
      <w:szCs w:val="20"/>
    </w:rPr>
  </w:style>
  <w:style w:type="table" w:styleId="a7">
    <w:name w:val="Table Grid"/>
    <w:basedOn w:val="a1"/>
    <w:uiPriority w:val="59"/>
    <w:rsid w:val="0083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36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66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36606"/>
    <w:pPr>
      <w:ind w:leftChars="200" w:left="480"/>
    </w:pPr>
  </w:style>
  <w:style w:type="paragraph" w:customStyle="1" w:styleId="-1">
    <w:name w:val="內文-標1"/>
    <w:rsid w:val="00971767"/>
    <w:pPr>
      <w:widowControl w:val="0"/>
      <w:spacing w:line="360" w:lineRule="atLeast"/>
      <w:ind w:left="284"/>
    </w:pPr>
    <w:rPr>
      <w:rFonts w:ascii="Times New Roman" w:eastAsia="標楷體" w:hAnsi="Times New Roman" w:cs="Times New Roman"/>
      <w:noProof/>
      <w:kern w:val="0"/>
      <w:szCs w:val="20"/>
    </w:rPr>
  </w:style>
  <w:style w:type="character" w:styleId="ab">
    <w:name w:val="annotation reference"/>
    <w:basedOn w:val="a0"/>
    <w:uiPriority w:val="99"/>
    <w:semiHidden/>
    <w:unhideWhenUsed/>
    <w:rsid w:val="00714F8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14F83"/>
  </w:style>
  <w:style w:type="character" w:customStyle="1" w:styleId="ad">
    <w:name w:val="註解文字 字元"/>
    <w:basedOn w:val="a0"/>
    <w:link w:val="ac"/>
    <w:uiPriority w:val="99"/>
    <w:semiHidden/>
    <w:rsid w:val="00714F83"/>
  </w:style>
  <w:style w:type="paragraph" w:styleId="ae">
    <w:name w:val="annotation subject"/>
    <w:basedOn w:val="ac"/>
    <w:next w:val="ac"/>
    <w:link w:val="af"/>
    <w:uiPriority w:val="99"/>
    <w:semiHidden/>
    <w:unhideWhenUsed/>
    <w:rsid w:val="00714F8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14F83"/>
    <w:rPr>
      <w:b/>
      <w:bCs/>
    </w:rPr>
  </w:style>
  <w:style w:type="paragraph" w:styleId="Web">
    <w:name w:val="Normal (Web)"/>
    <w:basedOn w:val="a"/>
    <w:uiPriority w:val="99"/>
    <w:semiHidden/>
    <w:unhideWhenUsed/>
    <w:rsid w:val="004635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0">
    <w:name w:val="Plain Text"/>
    <w:basedOn w:val="a"/>
    <w:link w:val="af1"/>
    <w:rsid w:val="00DB1A03"/>
    <w:rPr>
      <w:rFonts w:ascii="Times New Roman" w:eastAsia="標楷體" w:hAnsi="Times New Roman" w:cs="Times New Roman"/>
      <w:szCs w:val="20"/>
    </w:rPr>
  </w:style>
  <w:style w:type="character" w:customStyle="1" w:styleId="af1">
    <w:name w:val="純文字 字元"/>
    <w:basedOn w:val="a0"/>
    <w:link w:val="af0"/>
    <w:rsid w:val="00DB1A03"/>
    <w:rPr>
      <w:rFonts w:ascii="Times New Roman" w:eastAsia="標楷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D7E8-10D6-4735-9017-35834869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7</cp:revision>
  <cp:lastPrinted>2018-06-21T07:08:00Z</cp:lastPrinted>
  <dcterms:created xsi:type="dcterms:W3CDTF">2017-08-18T02:57:00Z</dcterms:created>
  <dcterms:modified xsi:type="dcterms:W3CDTF">2018-06-21T07:08:00Z</dcterms:modified>
</cp:coreProperties>
</file>