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3098E" w14:textId="77777777" w:rsidR="00836606" w:rsidRPr="00EB126B" w:rsidRDefault="005743BF" w:rsidP="008611BD">
      <w:pPr>
        <w:pStyle w:val="aa"/>
        <w:numPr>
          <w:ilvl w:val="0"/>
          <w:numId w:val="4"/>
        </w:numPr>
        <w:spacing w:beforeLines="50" w:before="180"/>
        <w:ind w:leftChars="0"/>
        <w:jc w:val="both"/>
        <w:rPr>
          <w:rFonts w:eastAsiaTheme="majorEastAsia" w:cstheme="minorHAnsi"/>
        </w:rPr>
      </w:pPr>
      <w:r w:rsidRPr="00EB126B">
        <w:rPr>
          <w:rFonts w:eastAsiaTheme="majorEastAsia" w:cstheme="minorHAnsi"/>
        </w:rPr>
        <w:t>目的：</w:t>
      </w:r>
      <w:r w:rsidR="008F5FAC">
        <w:t>建立實驗室內量測不確定度評估作業方式，以便能合理估算出各項</w:t>
      </w:r>
      <w:r w:rsidR="008F5FAC">
        <w:rPr>
          <w:rFonts w:hint="eastAsia"/>
        </w:rPr>
        <w:t>檢</w:t>
      </w:r>
      <w:bookmarkStart w:id="0" w:name="_GoBack"/>
      <w:bookmarkEnd w:id="0"/>
      <w:r w:rsidR="008F5FAC">
        <w:rPr>
          <w:rFonts w:hint="eastAsia"/>
        </w:rPr>
        <w:t>驗作業</w:t>
      </w:r>
      <w:r w:rsidR="008F5FAC">
        <w:t>之量測不確定度及提供顧客對實驗室品質之認定。</w:t>
      </w:r>
    </w:p>
    <w:p w14:paraId="4A02581D" w14:textId="77777777" w:rsidR="005743BF" w:rsidRPr="00EB126B" w:rsidRDefault="005743BF" w:rsidP="008611BD">
      <w:pPr>
        <w:pStyle w:val="aa"/>
        <w:numPr>
          <w:ilvl w:val="0"/>
          <w:numId w:val="4"/>
        </w:numPr>
        <w:spacing w:beforeLines="50" w:before="180"/>
        <w:ind w:leftChars="0"/>
        <w:jc w:val="both"/>
        <w:rPr>
          <w:rFonts w:eastAsiaTheme="majorEastAsia" w:cstheme="minorHAnsi"/>
        </w:rPr>
      </w:pPr>
      <w:r w:rsidRPr="00EB126B">
        <w:rPr>
          <w:rFonts w:eastAsiaTheme="majorEastAsia" w:cstheme="minorHAnsi"/>
        </w:rPr>
        <w:t>權責：</w:t>
      </w:r>
    </w:p>
    <w:p w14:paraId="56FB2DF8" w14:textId="77777777" w:rsidR="004E4706" w:rsidRPr="00EB126B" w:rsidRDefault="004E4706" w:rsidP="004E4706">
      <w:pPr>
        <w:pStyle w:val="aa"/>
        <w:numPr>
          <w:ilvl w:val="1"/>
          <w:numId w:val="4"/>
        </w:numPr>
        <w:spacing w:beforeLines="50" w:before="180"/>
        <w:ind w:leftChars="0"/>
        <w:jc w:val="both"/>
        <w:rPr>
          <w:rFonts w:eastAsiaTheme="majorEastAsia" w:cstheme="minorHAnsi"/>
        </w:rPr>
      </w:pPr>
      <w:r w:rsidRPr="00EB126B">
        <w:rPr>
          <w:rFonts w:eastAsiaTheme="majorEastAsia" w:cstheme="minorHAnsi"/>
        </w:rPr>
        <w:t>實驗室主管：</w:t>
      </w:r>
      <w:r w:rsidR="008F5FAC">
        <w:t>量測不確定度評估計劃擬定</w:t>
      </w:r>
      <w:r w:rsidR="008F5FAC">
        <w:rPr>
          <w:rFonts w:hint="eastAsia"/>
        </w:rPr>
        <w:t>與審查量測不確定度之報告</w:t>
      </w:r>
      <w:r w:rsidR="008F5FAC">
        <w:t>。</w:t>
      </w:r>
    </w:p>
    <w:p w14:paraId="7D1F7056" w14:textId="77777777" w:rsidR="004E4706" w:rsidRPr="00EB126B" w:rsidRDefault="004E4706" w:rsidP="004E4706">
      <w:pPr>
        <w:pStyle w:val="aa"/>
        <w:numPr>
          <w:ilvl w:val="1"/>
          <w:numId w:val="4"/>
        </w:numPr>
        <w:spacing w:beforeLines="50" w:before="180"/>
        <w:ind w:leftChars="0"/>
        <w:jc w:val="both"/>
        <w:rPr>
          <w:rFonts w:eastAsiaTheme="majorEastAsia" w:cstheme="minorHAnsi"/>
        </w:rPr>
      </w:pPr>
      <w:r w:rsidRPr="00EB126B">
        <w:rPr>
          <w:rFonts w:eastAsiaTheme="majorEastAsia" w:cstheme="minorHAnsi"/>
        </w:rPr>
        <w:t>品質主管：</w:t>
      </w:r>
      <w:r w:rsidR="008F5FAC">
        <w:rPr>
          <w:rFonts w:eastAsiaTheme="majorEastAsia" w:cstheme="minorHAnsi" w:hint="eastAsia"/>
        </w:rPr>
        <w:t>督導</w:t>
      </w:r>
      <w:r w:rsidR="008F5FAC">
        <w:t>量測不確定度評估之相關作業</w:t>
      </w:r>
      <w:r w:rsidR="008F5FAC">
        <w:rPr>
          <w:rFonts w:hint="eastAsia"/>
        </w:rPr>
        <w:t>與審查量測不確定度之報告。</w:t>
      </w:r>
    </w:p>
    <w:p w14:paraId="3A258D00" w14:textId="77777777" w:rsidR="004E4706" w:rsidRPr="00EB126B" w:rsidRDefault="004E4706" w:rsidP="004E4706">
      <w:pPr>
        <w:pStyle w:val="aa"/>
        <w:numPr>
          <w:ilvl w:val="1"/>
          <w:numId w:val="4"/>
        </w:numPr>
        <w:spacing w:beforeLines="50" w:before="180"/>
        <w:ind w:leftChars="0"/>
        <w:jc w:val="both"/>
        <w:rPr>
          <w:rFonts w:eastAsiaTheme="majorEastAsia" w:cstheme="minorHAnsi"/>
        </w:rPr>
      </w:pPr>
      <w:r w:rsidRPr="00EB126B">
        <w:rPr>
          <w:rFonts w:eastAsiaTheme="majorEastAsia" w:cstheme="minorHAnsi"/>
        </w:rPr>
        <w:t>實驗室人員：</w:t>
      </w:r>
      <w:r w:rsidR="008F5FAC">
        <w:t>執行各項量測不確定度評估。</w:t>
      </w:r>
    </w:p>
    <w:p w14:paraId="4D9F1948" w14:textId="77777777" w:rsidR="005743BF" w:rsidRPr="00EB126B" w:rsidRDefault="005743BF" w:rsidP="008611BD">
      <w:pPr>
        <w:pStyle w:val="aa"/>
        <w:numPr>
          <w:ilvl w:val="0"/>
          <w:numId w:val="4"/>
        </w:numPr>
        <w:spacing w:beforeLines="50" w:before="180"/>
        <w:ind w:leftChars="0"/>
        <w:jc w:val="both"/>
        <w:rPr>
          <w:rFonts w:eastAsiaTheme="majorEastAsia" w:cstheme="minorHAnsi"/>
        </w:rPr>
      </w:pPr>
      <w:r w:rsidRPr="00EB126B">
        <w:rPr>
          <w:rFonts w:eastAsiaTheme="majorEastAsia" w:cstheme="minorHAnsi"/>
        </w:rPr>
        <w:t>適用範圍：</w:t>
      </w:r>
      <w:r w:rsidR="008F5FAC">
        <w:t>本實驗室內需進行量測不確定度評估之</w:t>
      </w:r>
      <w:r w:rsidR="008F5FAC">
        <w:rPr>
          <w:rFonts w:hint="eastAsia"/>
        </w:rPr>
        <w:t>檢驗作業</w:t>
      </w:r>
      <w:r w:rsidR="008F5FAC">
        <w:t>。</w:t>
      </w:r>
    </w:p>
    <w:p w14:paraId="6B99C8A7" w14:textId="77777777" w:rsidR="00971767" w:rsidRPr="00EB126B" w:rsidRDefault="005743BF" w:rsidP="00801D6B">
      <w:pPr>
        <w:pStyle w:val="aa"/>
        <w:numPr>
          <w:ilvl w:val="0"/>
          <w:numId w:val="4"/>
        </w:numPr>
        <w:spacing w:beforeLines="50" w:before="180"/>
        <w:ind w:leftChars="0"/>
        <w:jc w:val="both"/>
        <w:rPr>
          <w:rFonts w:eastAsiaTheme="majorEastAsia" w:cstheme="minorHAnsi"/>
        </w:rPr>
      </w:pPr>
      <w:r w:rsidRPr="00EB126B">
        <w:rPr>
          <w:rFonts w:eastAsiaTheme="majorEastAsia" w:cstheme="minorHAnsi"/>
        </w:rPr>
        <w:t>定義</w:t>
      </w:r>
      <w:r w:rsidR="00D91A69" w:rsidRPr="00EB126B">
        <w:rPr>
          <w:rFonts w:eastAsiaTheme="majorEastAsia" w:cstheme="minorHAnsi"/>
        </w:rPr>
        <w:t>與名詞解釋</w:t>
      </w:r>
      <w:r w:rsidRPr="00EB126B">
        <w:rPr>
          <w:rFonts w:eastAsiaTheme="majorEastAsia" w:cstheme="minorHAnsi"/>
        </w:rPr>
        <w:t>：</w:t>
      </w:r>
    </w:p>
    <w:p w14:paraId="05B3A549" w14:textId="2C4C5157" w:rsidR="00535248" w:rsidRPr="0071587B" w:rsidRDefault="0071587B" w:rsidP="00535248">
      <w:pPr>
        <w:pStyle w:val="aa"/>
        <w:numPr>
          <w:ilvl w:val="1"/>
          <w:numId w:val="4"/>
        </w:numPr>
        <w:spacing w:beforeLines="50" w:before="180"/>
        <w:ind w:leftChars="0"/>
        <w:jc w:val="both"/>
        <w:rPr>
          <w:rFonts w:eastAsiaTheme="majorEastAsia" w:cstheme="minorHAnsi"/>
        </w:rPr>
      </w:pPr>
      <w:r>
        <w:t>量測不確定度：隨同一個量測結果，說明可合理歸屬於受測量值分散程度的參數</w:t>
      </w:r>
      <w:r w:rsidR="004D2874">
        <w:rPr>
          <w:rFonts w:hint="eastAsia"/>
        </w:rPr>
        <w:t>，</w:t>
      </w:r>
      <w:r w:rsidR="004D2874">
        <w:rPr>
          <w:rFonts w:hint="eastAsia"/>
          <w:b/>
          <w:bCs/>
          <w:u w:val="single"/>
        </w:rPr>
        <w:t>如果量測結果可能發生的範圍是</w:t>
      </w:r>
      <w:r w:rsidR="004D2874">
        <w:rPr>
          <w:rFonts w:hint="eastAsia"/>
          <w:b/>
          <w:bCs/>
          <w:u w:val="single"/>
        </w:rPr>
        <w:t>Y</w:t>
      </w:r>
      <m:oMath>
        <m:r>
          <m:rPr>
            <m:sty m:val="b"/>
          </m:rPr>
          <w:rPr>
            <w:rFonts w:ascii="Cambria Math" w:hAnsi="Cambria Math"/>
            <w:u w:val="single"/>
          </w:rPr>
          <m:t>±</m:t>
        </m:r>
      </m:oMath>
      <w:r w:rsidR="004D2874">
        <w:rPr>
          <w:rFonts w:hint="eastAsia"/>
          <w:b/>
          <w:bCs/>
          <w:u w:val="single"/>
        </w:rPr>
        <w:t>U</w:t>
      </w:r>
      <w:r w:rsidR="004D2874">
        <w:rPr>
          <w:rFonts w:hint="eastAsia"/>
          <w:b/>
          <w:bCs/>
          <w:u w:val="single"/>
        </w:rPr>
        <w:t>，與發生在這個範圍的可能性</w:t>
      </w:r>
      <w:r w:rsidR="004D2874">
        <w:rPr>
          <w:rFonts w:hint="eastAsia"/>
          <w:b/>
          <w:bCs/>
          <w:u w:val="single"/>
        </w:rPr>
        <w:t>P%</w:t>
      </w:r>
      <w:r>
        <w:t>。</w:t>
      </w:r>
    </w:p>
    <w:p w14:paraId="57D88350" w14:textId="77777777" w:rsidR="0071587B" w:rsidRPr="0071587B" w:rsidRDefault="0071587B" w:rsidP="00535248">
      <w:pPr>
        <w:pStyle w:val="aa"/>
        <w:numPr>
          <w:ilvl w:val="1"/>
          <w:numId w:val="4"/>
        </w:numPr>
        <w:spacing w:beforeLines="50" w:before="180"/>
        <w:ind w:leftChars="0"/>
        <w:jc w:val="both"/>
        <w:rPr>
          <w:rFonts w:eastAsiaTheme="majorEastAsia" w:cstheme="minorHAnsi"/>
        </w:rPr>
      </w:pPr>
      <w:r>
        <w:t>標準不確定度</w:t>
      </w:r>
      <w:r>
        <w:t>A</w:t>
      </w:r>
      <w:r>
        <w:t>類評估法：對一系列觀測值進行統計分析，計算標準不確定度的方法。</w:t>
      </w:r>
    </w:p>
    <w:p w14:paraId="28326AD5" w14:textId="24BB0944" w:rsidR="0071587B" w:rsidRPr="002871D0" w:rsidRDefault="0071587B" w:rsidP="00535248">
      <w:pPr>
        <w:pStyle w:val="aa"/>
        <w:numPr>
          <w:ilvl w:val="1"/>
          <w:numId w:val="4"/>
        </w:numPr>
        <w:spacing w:beforeLines="50" w:before="180"/>
        <w:ind w:leftChars="0"/>
        <w:jc w:val="both"/>
        <w:rPr>
          <w:rFonts w:eastAsiaTheme="majorEastAsia" w:cstheme="minorHAnsi"/>
        </w:rPr>
      </w:pPr>
      <w:r>
        <w:t>標準不確定度</w:t>
      </w:r>
      <w:r>
        <w:t>B</w:t>
      </w:r>
      <w:r>
        <w:t>類評估法：以對一系列觀測值進行統計分析以外之其它方式，計算標準不確定度的方法。</w:t>
      </w:r>
    </w:p>
    <w:p w14:paraId="365F2AC1" w14:textId="7BF7F8AA" w:rsidR="00FA7D73" w:rsidRPr="0071587B" w:rsidRDefault="00FA7D73" w:rsidP="00535248">
      <w:pPr>
        <w:pStyle w:val="aa"/>
        <w:numPr>
          <w:ilvl w:val="1"/>
          <w:numId w:val="4"/>
        </w:numPr>
        <w:spacing w:beforeLines="50" w:before="180"/>
        <w:ind w:leftChars="0"/>
        <w:jc w:val="both"/>
        <w:rPr>
          <w:rFonts w:eastAsiaTheme="majorEastAsia" w:cstheme="minorHAnsi"/>
        </w:rPr>
      </w:pPr>
      <w:r>
        <w:rPr>
          <w:rFonts w:hint="eastAsia"/>
          <w:b/>
          <w:bCs/>
          <w:u w:val="single"/>
        </w:rPr>
        <w:t>標準量測不確定度</w:t>
      </w:r>
      <w:r w:rsidRPr="004C572B">
        <w:rPr>
          <w:b/>
          <w:bCs/>
          <w:u w:val="single"/>
        </w:rPr>
        <w:t>(Standard measurement uncertainty, u, SD)</w:t>
      </w:r>
      <w:r>
        <w:rPr>
          <w:rFonts w:hint="eastAsia"/>
          <w:b/>
          <w:bCs/>
          <w:u w:val="single"/>
        </w:rPr>
        <w:t>：以標準差表示的量測不確定度。</w:t>
      </w:r>
    </w:p>
    <w:p w14:paraId="31392DE5" w14:textId="07DC9CA7" w:rsidR="0071587B" w:rsidRDefault="004C572B" w:rsidP="007C1AFC">
      <w:pPr>
        <w:pStyle w:val="aa"/>
        <w:numPr>
          <w:ilvl w:val="1"/>
          <w:numId w:val="4"/>
        </w:numPr>
        <w:spacing w:beforeLines="50" w:before="180"/>
        <w:ind w:leftChars="0"/>
        <w:jc w:val="both"/>
      </w:pPr>
      <w:r w:rsidRPr="002871D0">
        <w:rPr>
          <w:rFonts w:hint="eastAsia"/>
          <w:b/>
          <w:bCs/>
          <w:u w:val="single"/>
        </w:rPr>
        <w:t>相對</w:t>
      </w:r>
      <w:r w:rsidR="0071587B">
        <w:t>標準</w:t>
      </w:r>
      <w:r w:rsidRPr="002871D0">
        <w:rPr>
          <w:rFonts w:hint="eastAsia"/>
          <w:b/>
          <w:bCs/>
          <w:u w:val="single"/>
        </w:rPr>
        <w:t>量測</w:t>
      </w:r>
      <w:r w:rsidR="0071587B">
        <w:t>不確定</w:t>
      </w:r>
      <w:r w:rsidRPr="004C572B">
        <w:rPr>
          <w:rFonts w:hint="eastAsia"/>
        </w:rPr>
        <w:t>度</w:t>
      </w:r>
      <w:r w:rsidRPr="002871D0">
        <w:rPr>
          <w:b/>
          <w:bCs/>
          <w:u w:val="single"/>
        </w:rPr>
        <w:t xml:space="preserve">(Relative standard measurement uncertainty, </w:t>
      </w:r>
      <w:proofErr w:type="spellStart"/>
      <w:r w:rsidRPr="002871D0">
        <w:rPr>
          <w:b/>
          <w:bCs/>
          <w:u w:val="single"/>
        </w:rPr>
        <w:t>u</w:t>
      </w:r>
      <w:r w:rsidRPr="002871D0">
        <w:rPr>
          <w:b/>
          <w:bCs/>
          <w:u w:val="single"/>
          <w:vertAlign w:val="subscript"/>
        </w:rPr>
        <w:t>rel</w:t>
      </w:r>
      <w:proofErr w:type="spellEnd"/>
      <w:r w:rsidRPr="002871D0">
        <w:rPr>
          <w:b/>
          <w:bCs/>
          <w:u w:val="single"/>
        </w:rPr>
        <w:t xml:space="preserve"> , CV)</w:t>
      </w:r>
      <w:r w:rsidR="0071587B">
        <w:t>：</w:t>
      </w:r>
      <w:r w:rsidRPr="002871D0">
        <w:rPr>
          <w:rFonts w:hint="eastAsia"/>
          <w:b/>
          <w:bCs/>
          <w:u w:val="single"/>
        </w:rPr>
        <w:t>標準量測不確定度除以量測平均值之絕對值，此計算通常以</w:t>
      </w:r>
      <w:r w:rsidRPr="002871D0">
        <w:rPr>
          <w:b/>
          <w:bCs/>
          <w:u w:val="single"/>
        </w:rPr>
        <w:t xml:space="preserve">Coefficient of variation </w:t>
      </w:r>
      <w:r w:rsidR="007C1AFC">
        <w:rPr>
          <w:rFonts w:hint="eastAsia"/>
        </w:rPr>
        <w:t xml:space="preserve">(CV </w:t>
      </w:r>
      <w:r w:rsidR="007C1AFC">
        <w:rPr>
          <w:rFonts w:hint="eastAsia"/>
        </w:rPr>
        <w:t>或</w:t>
      </w:r>
      <w:r w:rsidR="007C1AFC">
        <w:rPr>
          <w:rFonts w:hint="eastAsia"/>
        </w:rPr>
        <w:t xml:space="preserve"> CV%)</w:t>
      </w:r>
      <w:r w:rsidR="007C1AFC">
        <w:rPr>
          <w:rFonts w:hint="eastAsia"/>
        </w:rPr>
        <w:t>表示。</w:t>
      </w:r>
    </w:p>
    <w:p w14:paraId="4638B4A8" w14:textId="5FFA056D" w:rsidR="00A10853" w:rsidRPr="007C1AFC" w:rsidRDefault="00A10853" w:rsidP="007C1AFC">
      <w:pPr>
        <w:pStyle w:val="aa"/>
        <w:numPr>
          <w:ilvl w:val="1"/>
          <w:numId w:val="4"/>
        </w:numPr>
        <w:spacing w:beforeLines="50" w:before="180"/>
        <w:ind w:leftChars="0"/>
        <w:jc w:val="both"/>
      </w:pPr>
      <w:r>
        <w:rPr>
          <w:rFonts w:hint="eastAsia"/>
          <w:b/>
          <w:bCs/>
          <w:u w:val="single"/>
        </w:rPr>
        <w:t>組合標準量測不確定度</w:t>
      </w:r>
      <w:r w:rsidRPr="00A10853">
        <w:rPr>
          <w:b/>
          <w:bCs/>
          <w:u w:val="single"/>
        </w:rPr>
        <w:t xml:space="preserve">(Combined standard measurement uncertainty, </w:t>
      </w:r>
      <w:proofErr w:type="spellStart"/>
      <w:r w:rsidRPr="00A10853">
        <w:rPr>
          <w:b/>
          <w:bCs/>
          <w:u w:val="single"/>
        </w:rPr>
        <w:t>u</w:t>
      </w:r>
      <w:r w:rsidRPr="002871D0">
        <w:rPr>
          <w:b/>
          <w:bCs/>
          <w:u w:val="single"/>
          <w:vertAlign w:val="subscript"/>
        </w:rPr>
        <w:t>c</w:t>
      </w:r>
      <w:proofErr w:type="spellEnd"/>
      <w:r w:rsidRPr="00A10853">
        <w:rPr>
          <w:b/>
          <w:bCs/>
          <w:u w:val="single"/>
        </w:rPr>
        <w:t xml:space="preserve"> )</w:t>
      </w:r>
      <w:r>
        <w:rPr>
          <w:rFonts w:hint="eastAsia"/>
          <w:b/>
          <w:bCs/>
          <w:u w:val="single"/>
        </w:rPr>
        <w:t>：來自量測模式之相關輸入量的個別標準量測不確定度加總所得的標準量測不確定度</w:t>
      </w:r>
      <w:r w:rsidR="00373444">
        <w:rPr>
          <w:rFonts w:hint="eastAsia"/>
          <w:b/>
          <w:bCs/>
          <w:u w:val="single"/>
        </w:rPr>
        <w:t>。</w:t>
      </w:r>
    </w:p>
    <w:p w14:paraId="79A26CB9" w14:textId="2A990D6A" w:rsidR="0071587B" w:rsidRPr="002871D0" w:rsidRDefault="0071587B" w:rsidP="007A0A08">
      <w:pPr>
        <w:pStyle w:val="aa"/>
        <w:numPr>
          <w:ilvl w:val="1"/>
          <w:numId w:val="4"/>
        </w:numPr>
        <w:spacing w:beforeLines="50" w:before="180"/>
        <w:ind w:leftChars="0"/>
        <w:jc w:val="both"/>
        <w:rPr>
          <w:rFonts w:eastAsiaTheme="majorEastAsia" w:cstheme="minorHAnsi"/>
        </w:rPr>
      </w:pPr>
      <w:r>
        <w:t>擴充不確定度：</w:t>
      </w:r>
      <w:r w:rsidR="004D2874">
        <w:rPr>
          <w:rFonts w:hint="eastAsia"/>
          <w:b/>
          <w:bCs/>
          <w:u w:val="single"/>
        </w:rPr>
        <w:t>以組合不確定度計算該值之</w:t>
      </w:r>
      <w:r w:rsidR="004D2874">
        <w:rPr>
          <w:rFonts w:hint="eastAsia"/>
          <w:b/>
          <w:bCs/>
          <w:u w:val="single"/>
        </w:rPr>
        <w:t>2</w:t>
      </w:r>
      <w:r w:rsidR="004D2874">
        <w:rPr>
          <w:rFonts w:hint="eastAsia"/>
          <w:b/>
          <w:bCs/>
          <w:u w:val="single"/>
        </w:rPr>
        <w:t>倍表示</w:t>
      </w:r>
      <w:r w:rsidR="003F13A3">
        <w:rPr>
          <w:rFonts w:hint="eastAsia"/>
          <w:b/>
          <w:bCs/>
          <w:u w:val="single"/>
        </w:rPr>
        <w:t>，通常最多以兩位有效數字來表示</w:t>
      </w:r>
      <w:r w:rsidR="007C1AFC" w:rsidRPr="002871D0">
        <w:rPr>
          <w:rFonts w:hint="eastAsia"/>
          <w:b/>
          <w:bCs/>
          <w:u w:val="single"/>
        </w:rPr>
        <w:t>。</w:t>
      </w:r>
    </w:p>
    <w:p w14:paraId="71384378" w14:textId="535A10BC" w:rsidR="004C572B" w:rsidRPr="002871D0" w:rsidRDefault="004C572B" w:rsidP="007A0A08">
      <w:pPr>
        <w:pStyle w:val="aa"/>
        <w:numPr>
          <w:ilvl w:val="1"/>
          <w:numId w:val="4"/>
        </w:numPr>
        <w:spacing w:beforeLines="50" w:before="180"/>
        <w:ind w:leftChars="0"/>
        <w:jc w:val="both"/>
        <w:rPr>
          <w:rFonts w:eastAsiaTheme="majorEastAsia" w:cstheme="minorHAnsi"/>
        </w:rPr>
      </w:pPr>
      <w:r>
        <w:rPr>
          <w:rFonts w:hint="eastAsia"/>
          <w:b/>
          <w:bCs/>
          <w:u w:val="single"/>
        </w:rPr>
        <w:t>可容許總誤差</w:t>
      </w:r>
      <w:r w:rsidRPr="004C572B">
        <w:rPr>
          <w:b/>
          <w:bCs/>
          <w:u w:val="single"/>
        </w:rPr>
        <w:t xml:space="preserve">(Allowable total error, </w:t>
      </w:r>
      <w:proofErr w:type="spellStart"/>
      <w:r w:rsidRPr="004C572B">
        <w:rPr>
          <w:b/>
          <w:bCs/>
          <w:u w:val="single"/>
        </w:rPr>
        <w:t>TEa</w:t>
      </w:r>
      <w:proofErr w:type="spellEnd"/>
      <w:r w:rsidRPr="004C572B">
        <w:rPr>
          <w:b/>
          <w:bCs/>
          <w:u w:val="single"/>
        </w:rPr>
        <w:t xml:space="preserve"> )</w:t>
      </w:r>
      <w:r>
        <w:rPr>
          <w:rFonts w:hint="eastAsia"/>
          <w:b/>
          <w:bCs/>
          <w:u w:val="single"/>
        </w:rPr>
        <w:t>：</w:t>
      </w:r>
      <w:r w:rsidR="004D2874">
        <w:rPr>
          <w:rFonts w:hint="eastAsia"/>
          <w:b/>
          <w:bCs/>
          <w:u w:val="single"/>
        </w:rPr>
        <w:t>在</w:t>
      </w:r>
      <w:r>
        <w:rPr>
          <w:rFonts w:hint="eastAsia"/>
          <w:b/>
          <w:bCs/>
          <w:u w:val="single"/>
        </w:rPr>
        <w:t>一次測量中可容許的隨機誤差與系統誤差的總合。</w:t>
      </w:r>
    </w:p>
    <w:p w14:paraId="20111413" w14:textId="4D4A2C1E" w:rsidR="008E69BE" w:rsidRPr="002871D0" w:rsidRDefault="008E69BE" w:rsidP="007A0A08">
      <w:pPr>
        <w:pStyle w:val="aa"/>
        <w:numPr>
          <w:ilvl w:val="1"/>
          <w:numId w:val="4"/>
        </w:numPr>
        <w:spacing w:beforeLines="50" w:before="180"/>
        <w:ind w:leftChars="0"/>
        <w:jc w:val="both"/>
        <w:rPr>
          <w:rFonts w:eastAsiaTheme="majorEastAsia" w:cstheme="minorHAnsi"/>
        </w:rPr>
      </w:pPr>
      <w:r>
        <w:rPr>
          <w:rFonts w:hint="eastAsia"/>
          <w:b/>
          <w:bCs/>
          <w:u w:val="single"/>
        </w:rPr>
        <w:t>不精密度</w:t>
      </w:r>
      <w:r>
        <w:rPr>
          <w:rFonts w:hint="eastAsia"/>
          <w:b/>
          <w:bCs/>
          <w:u w:val="single"/>
        </w:rPr>
        <w:t>(</w:t>
      </w:r>
      <w:r>
        <w:rPr>
          <w:b/>
          <w:bCs/>
          <w:u w:val="single"/>
        </w:rPr>
        <w:t>Imprecision</w:t>
      </w:r>
      <w:r>
        <w:rPr>
          <w:rFonts w:hint="eastAsia"/>
          <w:b/>
          <w:bCs/>
          <w:u w:val="single"/>
        </w:rPr>
        <w:t>)</w:t>
      </w:r>
      <w:r>
        <w:rPr>
          <w:rFonts w:hint="eastAsia"/>
          <w:b/>
          <w:bCs/>
          <w:u w:val="single"/>
        </w:rPr>
        <w:t>：每一個在特定條件下量測結果間的散離性。</w:t>
      </w:r>
    </w:p>
    <w:p w14:paraId="318B5916" w14:textId="0926B5A9" w:rsidR="008E69BE" w:rsidRDefault="004D2874" w:rsidP="007A0A08">
      <w:pPr>
        <w:pStyle w:val="aa"/>
        <w:numPr>
          <w:ilvl w:val="1"/>
          <w:numId w:val="4"/>
        </w:numPr>
        <w:spacing w:beforeLines="50" w:before="180"/>
        <w:ind w:leftChars="0"/>
        <w:jc w:val="both"/>
        <w:rPr>
          <w:rFonts w:eastAsiaTheme="majorEastAsia" w:cstheme="minorHAnsi"/>
          <w:b/>
          <w:bCs/>
          <w:u w:val="single"/>
        </w:rPr>
      </w:pPr>
      <w:r w:rsidRPr="002871D0">
        <w:rPr>
          <w:rFonts w:eastAsiaTheme="majorEastAsia" w:cstheme="minorHAnsi" w:hint="eastAsia"/>
          <w:b/>
          <w:bCs/>
          <w:u w:val="single"/>
        </w:rPr>
        <w:t>量測偏差</w:t>
      </w:r>
      <w:r w:rsidRPr="002871D0">
        <w:rPr>
          <w:rFonts w:eastAsiaTheme="majorEastAsia" w:cstheme="minorHAnsi"/>
          <w:b/>
          <w:bCs/>
          <w:u w:val="single"/>
        </w:rPr>
        <w:t>(Measurement bias)</w:t>
      </w:r>
      <w:r w:rsidRPr="002871D0">
        <w:rPr>
          <w:rFonts w:eastAsiaTheme="majorEastAsia" w:cstheme="minorHAnsi" w:hint="eastAsia"/>
          <w:b/>
          <w:bCs/>
          <w:u w:val="single"/>
        </w:rPr>
        <w:t>：系統量測誤差的估計值。</w:t>
      </w:r>
    </w:p>
    <w:p w14:paraId="2D13B97C" w14:textId="637150E7" w:rsidR="004D2874" w:rsidRPr="002871D0" w:rsidRDefault="004D2874" w:rsidP="007A0A08">
      <w:pPr>
        <w:pStyle w:val="aa"/>
        <w:numPr>
          <w:ilvl w:val="1"/>
          <w:numId w:val="4"/>
        </w:numPr>
        <w:spacing w:beforeLines="50" w:before="180"/>
        <w:ind w:leftChars="0"/>
        <w:jc w:val="both"/>
        <w:rPr>
          <w:rFonts w:eastAsiaTheme="majorEastAsia" w:cstheme="minorHAnsi"/>
          <w:b/>
          <w:bCs/>
          <w:u w:val="single"/>
        </w:rPr>
      </w:pPr>
      <w:r>
        <w:rPr>
          <w:rFonts w:eastAsiaTheme="majorEastAsia" w:cstheme="minorHAnsi" w:hint="eastAsia"/>
          <w:b/>
          <w:bCs/>
          <w:u w:val="single"/>
        </w:rPr>
        <w:lastRenderedPageBreak/>
        <w:t>目標量測不確定度</w:t>
      </w:r>
      <w:r w:rsidRPr="004D2874">
        <w:rPr>
          <w:rFonts w:eastAsiaTheme="majorEastAsia" w:cstheme="minorHAnsi"/>
          <w:b/>
          <w:bCs/>
          <w:u w:val="single"/>
        </w:rPr>
        <w:t>(Target measurement uncertainty)</w:t>
      </w:r>
      <w:r>
        <w:rPr>
          <w:rFonts w:eastAsiaTheme="majorEastAsia" w:cstheme="minorHAnsi" w:hint="eastAsia"/>
          <w:b/>
          <w:bCs/>
          <w:u w:val="single"/>
        </w:rPr>
        <w:t>：基於量測結果的使用目的被定為容許上限之量測不確定度。</w:t>
      </w:r>
    </w:p>
    <w:p w14:paraId="673200CC" w14:textId="77777777" w:rsidR="00C23FB5" w:rsidRPr="00EB126B" w:rsidRDefault="00292141" w:rsidP="004E4706">
      <w:pPr>
        <w:pStyle w:val="aa"/>
        <w:numPr>
          <w:ilvl w:val="0"/>
          <w:numId w:val="4"/>
        </w:numPr>
        <w:spacing w:beforeLines="50" w:before="180"/>
        <w:ind w:leftChars="0"/>
        <w:jc w:val="both"/>
        <w:rPr>
          <w:rFonts w:eastAsiaTheme="majorEastAsia" w:cstheme="minorHAnsi"/>
        </w:rPr>
      </w:pPr>
      <w:r w:rsidRPr="00EB126B">
        <w:rPr>
          <w:rFonts w:eastAsiaTheme="majorEastAsia" w:cstheme="minorHAnsi"/>
        </w:rPr>
        <w:t>作業說明：</w:t>
      </w:r>
    </w:p>
    <w:p w14:paraId="04557B3D" w14:textId="77777777" w:rsidR="00DB3CB0" w:rsidRDefault="00DB3CB0" w:rsidP="00DB3CB0">
      <w:pPr>
        <w:numPr>
          <w:ilvl w:val="1"/>
          <w:numId w:val="4"/>
        </w:numPr>
        <w:autoSpaceDE w:val="0"/>
        <w:autoSpaceDN w:val="0"/>
        <w:spacing w:line="360" w:lineRule="auto"/>
        <w:textAlignment w:val="bottom"/>
        <w:rPr>
          <w:szCs w:val="24"/>
        </w:rPr>
      </w:pPr>
      <w:r>
        <w:rPr>
          <w:rFonts w:hint="eastAsia"/>
          <w:szCs w:val="24"/>
        </w:rPr>
        <w:t>量測不確定度的評估：</w:t>
      </w:r>
    </w:p>
    <w:p w14:paraId="5B52745C" w14:textId="6C650163" w:rsidR="00B963CE" w:rsidRDefault="00B963CE" w:rsidP="00DB3CB0">
      <w:pPr>
        <w:numPr>
          <w:ilvl w:val="2"/>
          <w:numId w:val="4"/>
        </w:numPr>
        <w:autoSpaceDE w:val="0"/>
        <w:autoSpaceDN w:val="0"/>
        <w:spacing w:line="360" w:lineRule="auto"/>
        <w:textAlignment w:val="bottom"/>
        <w:rPr>
          <w:szCs w:val="24"/>
        </w:rPr>
      </w:pPr>
      <w:r>
        <w:rPr>
          <w:rFonts w:hint="eastAsia"/>
          <w:b/>
          <w:bCs/>
          <w:szCs w:val="24"/>
          <w:u w:val="single"/>
        </w:rPr>
        <w:t>依據</w:t>
      </w:r>
      <w:r>
        <w:rPr>
          <w:rFonts w:hint="eastAsia"/>
          <w:b/>
          <w:bCs/>
          <w:szCs w:val="24"/>
          <w:u w:val="single"/>
        </w:rPr>
        <w:t>T</w:t>
      </w:r>
      <w:r>
        <w:rPr>
          <w:b/>
          <w:bCs/>
          <w:szCs w:val="24"/>
          <w:u w:val="single"/>
        </w:rPr>
        <w:t>AF</w:t>
      </w:r>
      <w:r>
        <w:rPr>
          <w:rFonts w:ascii="標楷體" w:eastAsia="標楷體" w:hAnsi="標楷體" w:hint="eastAsia"/>
          <w:b/>
          <w:bCs/>
          <w:szCs w:val="24"/>
          <w:u w:val="single"/>
        </w:rPr>
        <w:t>「有關量測不確定度之政策(T</w:t>
      </w:r>
      <w:r>
        <w:rPr>
          <w:rFonts w:ascii="標楷體" w:eastAsia="標楷體" w:hAnsi="標楷體"/>
          <w:b/>
          <w:bCs/>
          <w:szCs w:val="24"/>
          <w:u w:val="single"/>
        </w:rPr>
        <w:t>AF-CNLA-R06(7)</w:t>
      </w:r>
      <w:r>
        <w:rPr>
          <w:rFonts w:ascii="標楷體" w:eastAsia="標楷體" w:hAnsi="標楷體" w:hint="eastAsia"/>
          <w:b/>
          <w:bCs/>
          <w:szCs w:val="24"/>
          <w:u w:val="single"/>
        </w:rPr>
        <w:t>」之要求，實驗室應對檢驗結果之量測值屬於定量者進行量測不確定度之評估；對量測值屬於半量定或定性者可不需要提供量測不確定度之評估，但可</w:t>
      </w:r>
      <w:r w:rsidR="00972A81">
        <w:rPr>
          <w:rFonts w:ascii="標楷體" w:eastAsia="標楷體" w:hAnsi="標楷體" w:hint="eastAsia"/>
          <w:b/>
          <w:bCs/>
          <w:szCs w:val="24"/>
          <w:u w:val="single"/>
        </w:rPr>
        <w:t>列出影響檢驗結果之變異性或已鑑別</w:t>
      </w:r>
      <w:r>
        <w:rPr>
          <w:rFonts w:ascii="標楷體" w:eastAsia="標楷體" w:hAnsi="標楷體" w:hint="eastAsia"/>
          <w:b/>
          <w:bCs/>
          <w:szCs w:val="24"/>
          <w:u w:val="single"/>
        </w:rPr>
        <w:t>量測不確定度之主要因子。</w:t>
      </w:r>
    </w:p>
    <w:p w14:paraId="48CE3127" w14:textId="5BDC3514" w:rsidR="00B963CE" w:rsidRDefault="00B963CE" w:rsidP="00DB3CB0">
      <w:pPr>
        <w:numPr>
          <w:ilvl w:val="2"/>
          <w:numId w:val="4"/>
        </w:numPr>
        <w:autoSpaceDE w:val="0"/>
        <w:autoSpaceDN w:val="0"/>
        <w:spacing w:line="360" w:lineRule="auto"/>
        <w:textAlignment w:val="bottom"/>
        <w:rPr>
          <w:b/>
          <w:bCs/>
          <w:szCs w:val="24"/>
          <w:u w:val="single"/>
        </w:rPr>
      </w:pPr>
      <w:r w:rsidRPr="002871D0">
        <w:rPr>
          <w:rFonts w:hint="eastAsia"/>
          <w:b/>
          <w:bCs/>
          <w:szCs w:val="24"/>
          <w:u w:val="single"/>
        </w:rPr>
        <w:t>主要因子鑑別</w:t>
      </w:r>
      <w:r w:rsidR="00B9108E">
        <w:rPr>
          <w:rFonts w:hint="eastAsia"/>
          <w:b/>
          <w:bCs/>
          <w:szCs w:val="24"/>
          <w:u w:val="single"/>
        </w:rPr>
        <w:t>：</w:t>
      </w:r>
      <w:r w:rsidR="002C718B">
        <w:rPr>
          <w:rFonts w:hint="eastAsia"/>
          <w:b/>
          <w:bCs/>
          <w:szCs w:val="24"/>
          <w:u w:val="single"/>
        </w:rPr>
        <w:t>實驗室應檢別檢驗之便毅度來源，其可能是來自檢驗方法本身，如檢測原理、待測物質特異性等；或是來自環境因素，如溫度、濕度、檢驗試劑批號更換或不同操作人員等。</w:t>
      </w:r>
    </w:p>
    <w:p w14:paraId="29ED1FE0" w14:textId="50273C42" w:rsidR="002C718B" w:rsidRDefault="002C718B" w:rsidP="00DB3CB0">
      <w:pPr>
        <w:numPr>
          <w:ilvl w:val="2"/>
          <w:numId w:val="4"/>
        </w:numPr>
        <w:autoSpaceDE w:val="0"/>
        <w:autoSpaceDN w:val="0"/>
        <w:spacing w:line="360" w:lineRule="auto"/>
        <w:textAlignment w:val="bottom"/>
        <w:rPr>
          <w:b/>
          <w:bCs/>
          <w:szCs w:val="24"/>
          <w:u w:val="single"/>
        </w:rPr>
      </w:pPr>
      <w:r>
        <w:rPr>
          <w:rFonts w:hint="eastAsia"/>
          <w:b/>
          <w:bCs/>
          <w:szCs w:val="24"/>
          <w:u w:val="single"/>
        </w:rPr>
        <w:t>明</w:t>
      </w:r>
      <w:r w:rsidR="0024093A">
        <w:rPr>
          <w:rFonts w:hint="eastAsia"/>
          <w:b/>
          <w:bCs/>
          <w:szCs w:val="24"/>
          <w:u w:val="single"/>
        </w:rPr>
        <w:t>訂</w:t>
      </w:r>
      <w:r>
        <w:rPr>
          <w:rFonts w:hint="eastAsia"/>
          <w:b/>
          <w:bCs/>
          <w:szCs w:val="24"/>
          <w:u w:val="single"/>
        </w:rPr>
        <w:t>不確定度性能要求：</w:t>
      </w:r>
      <w:r w:rsidR="00972A81">
        <w:rPr>
          <w:rFonts w:hint="eastAsia"/>
          <w:b/>
          <w:bCs/>
          <w:szCs w:val="24"/>
          <w:u w:val="single"/>
        </w:rPr>
        <w:t>實驗室應明定每項檢驗程序的量測不確定度性能要求，也就是設定目標不確定度，實驗室應以下列順序選擇設定原則</w:t>
      </w:r>
      <w:r w:rsidR="00C01279">
        <w:rPr>
          <w:rFonts w:hint="eastAsia"/>
          <w:b/>
          <w:bCs/>
          <w:szCs w:val="24"/>
          <w:u w:val="single"/>
        </w:rPr>
        <w:t>：</w:t>
      </w:r>
    </w:p>
    <w:p w14:paraId="1466A57D" w14:textId="0029A554" w:rsidR="00C01279" w:rsidRDefault="00C01279" w:rsidP="00C01279">
      <w:pPr>
        <w:numPr>
          <w:ilvl w:val="3"/>
          <w:numId w:val="4"/>
        </w:numPr>
        <w:autoSpaceDE w:val="0"/>
        <w:autoSpaceDN w:val="0"/>
        <w:spacing w:line="360" w:lineRule="auto"/>
        <w:textAlignment w:val="bottom"/>
        <w:rPr>
          <w:b/>
          <w:bCs/>
          <w:szCs w:val="24"/>
          <w:u w:val="single"/>
        </w:rPr>
      </w:pPr>
      <w:r>
        <w:rPr>
          <w:rFonts w:hint="eastAsia"/>
          <w:b/>
          <w:bCs/>
          <w:szCs w:val="24"/>
          <w:u w:val="single"/>
        </w:rPr>
        <w:t>採用國際公認的組合標準量測不確定度。</w:t>
      </w:r>
    </w:p>
    <w:p w14:paraId="58B83200" w14:textId="63A5A675" w:rsidR="00C01279" w:rsidRDefault="00C01279" w:rsidP="00C01279">
      <w:pPr>
        <w:numPr>
          <w:ilvl w:val="3"/>
          <w:numId w:val="4"/>
        </w:numPr>
        <w:autoSpaceDE w:val="0"/>
        <w:autoSpaceDN w:val="0"/>
        <w:spacing w:line="360" w:lineRule="auto"/>
        <w:textAlignment w:val="bottom"/>
        <w:rPr>
          <w:b/>
          <w:bCs/>
          <w:szCs w:val="24"/>
          <w:u w:val="single"/>
        </w:rPr>
      </w:pPr>
      <w:r>
        <w:rPr>
          <w:rFonts w:hint="eastAsia"/>
          <w:b/>
          <w:bCs/>
          <w:szCs w:val="24"/>
          <w:u w:val="single"/>
        </w:rPr>
        <w:t>針對大部分無國際公認標準的檢驗項目，可以透過利用個體內生物性變異度</w:t>
      </w:r>
      <w:r>
        <w:rPr>
          <w:rFonts w:hint="eastAsia"/>
          <w:b/>
          <w:bCs/>
          <w:szCs w:val="24"/>
          <w:u w:val="single"/>
        </w:rPr>
        <w:t>(</w:t>
      </w:r>
      <w:proofErr w:type="spellStart"/>
      <w:r>
        <w:rPr>
          <w:b/>
          <w:bCs/>
          <w:szCs w:val="24"/>
          <w:u w:val="single"/>
        </w:rPr>
        <w:t>CV</w:t>
      </w:r>
      <w:r w:rsidRPr="002871D0">
        <w:rPr>
          <w:b/>
          <w:bCs/>
          <w:szCs w:val="24"/>
          <w:u w:val="single"/>
          <w:vertAlign w:val="subscript"/>
        </w:rPr>
        <w:t>i</w:t>
      </w:r>
      <w:proofErr w:type="spellEnd"/>
      <w:r>
        <w:rPr>
          <w:rFonts w:hint="eastAsia"/>
          <w:b/>
          <w:bCs/>
          <w:szCs w:val="24"/>
          <w:u w:val="single"/>
        </w:rPr>
        <w:t>)</w:t>
      </w:r>
      <w:r>
        <w:rPr>
          <w:rFonts w:hint="eastAsia"/>
          <w:b/>
          <w:bCs/>
          <w:szCs w:val="24"/>
          <w:u w:val="single"/>
        </w:rPr>
        <w:t>進行設定。</w:t>
      </w:r>
    </w:p>
    <w:p w14:paraId="64EFC16D" w14:textId="4A0888F6" w:rsidR="00B5779F" w:rsidRDefault="00B5779F" w:rsidP="00C01279">
      <w:pPr>
        <w:numPr>
          <w:ilvl w:val="3"/>
          <w:numId w:val="4"/>
        </w:numPr>
        <w:autoSpaceDE w:val="0"/>
        <w:autoSpaceDN w:val="0"/>
        <w:spacing w:line="360" w:lineRule="auto"/>
        <w:textAlignment w:val="bottom"/>
        <w:rPr>
          <w:b/>
          <w:bCs/>
          <w:szCs w:val="24"/>
          <w:u w:val="single"/>
        </w:rPr>
      </w:pPr>
      <w:r>
        <w:rPr>
          <w:rFonts w:hint="eastAsia"/>
          <w:b/>
          <w:bCs/>
          <w:szCs w:val="24"/>
          <w:u w:val="single"/>
        </w:rPr>
        <w:t>依據可容許總誤差</w:t>
      </w:r>
      <w:r>
        <w:rPr>
          <w:rFonts w:hint="eastAsia"/>
          <w:b/>
          <w:bCs/>
          <w:szCs w:val="24"/>
          <w:u w:val="single"/>
        </w:rPr>
        <w:t>(</w:t>
      </w:r>
      <w:proofErr w:type="spellStart"/>
      <w:r>
        <w:rPr>
          <w:b/>
          <w:bCs/>
          <w:szCs w:val="24"/>
          <w:u w:val="single"/>
        </w:rPr>
        <w:t>TE</w:t>
      </w:r>
      <w:r w:rsidRPr="002871D0">
        <w:rPr>
          <w:b/>
          <w:bCs/>
          <w:szCs w:val="24"/>
          <w:u w:val="single"/>
          <w:vertAlign w:val="subscript"/>
        </w:rPr>
        <w:t>a</w:t>
      </w:r>
      <w:proofErr w:type="spellEnd"/>
      <w:r>
        <w:rPr>
          <w:rFonts w:hint="eastAsia"/>
          <w:b/>
          <w:bCs/>
          <w:szCs w:val="24"/>
          <w:u w:val="single"/>
        </w:rPr>
        <w:t>)</w:t>
      </w:r>
      <w:r>
        <w:rPr>
          <w:rFonts w:hint="eastAsia"/>
          <w:b/>
          <w:bCs/>
          <w:szCs w:val="24"/>
          <w:u w:val="single"/>
        </w:rPr>
        <w:t>來設定，目標不確定度</w:t>
      </w:r>
      <m:oMath>
        <m:r>
          <m:rPr>
            <m:sty m:val="b"/>
          </m:rPr>
          <w:rPr>
            <w:rFonts w:ascii="Cambria Math" w:hAnsi="Cambria Math"/>
            <w:szCs w:val="24"/>
            <w:u w:val="single"/>
          </w:rPr>
          <m:t>≤</m:t>
        </m:r>
      </m:oMath>
      <w:r>
        <w:rPr>
          <w:rFonts w:hint="eastAsia"/>
          <w:b/>
          <w:bCs/>
          <w:szCs w:val="24"/>
          <w:u w:val="single"/>
        </w:rPr>
        <w:t>1</w:t>
      </w:r>
      <w:r>
        <w:rPr>
          <w:b/>
          <w:bCs/>
          <w:szCs w:val="24"/>
          <w:u w:val="single"/>
        </w:rPr>
        <w:t xml:space="preserve">/3 </w:t>
      </w:r>
      <w:proofErr w:type="spellStart"/>
      <w:r>
        <w:rPr>
          <w:b/>
          <w:bCs/>
          <w:szCs w:val="24"/>
          <w:u w:val="single"/>
        </w:rPr>
        <w:t>TE</w:t>
      </w:r>
      <w:r w:rsidRPr="00A93BAF">
        <w:rPr>
          <w:b/>
          <w:bCs/>
          <w:szCs w:val="24"/>
          <w:u w:val="single"/>
          <w:vertAlign w:val="subscript"/>
        </w:rPr>
        <w:t>a</w:t>
      </w:r>
      <w:proofErr w:type="spellEnd"/>
      <w:r>
        <w:rPr>
          <w:rFonts w:hint="eastAsia"/>
          <w:b/>
          <w:bCs/>
          <w:szCs w:val="24"/>
          <w:u w:val="single"/>
        </w:rPr>
        <w:t>。</w:t>
      </w:r>
      <w:r w:rsidR="004A2660">
        <w:rPr>
          <w:rFonts w:hint="eastAsia"/>
          <w:b/>
          <w:bCs/>
          <w:szCs w:val="24"/>
          <w:u w:val="single"/>
        </w:rPr>
        <w:t>可容許總誤差資料請參閱</w:t>
      </w:r>
      <w:r w:rsidR="004A2660">
        <w:rPr>
          <w:rFonts w:asciiTheme="minorEastAsia" w:hAnsiTheme="minorEastAsia" w:hint="eastAsia"/>
          <w:b/>
          <w:bCs/>
          <w:szCs w:val="24"/>
          <w:u w:val="single"/>
        </w:rPr>
        <w:t>「醫學實驗室定量量測不確定度評估案例</w:t>
      </w:r>
      <w:r w:rsidR="004A2660" w:rsidRPr="002871D0">
        <w:rPr>
          <w:rFonts w:cstheme="minorHAnsi"/>
          <w:b/>
          <w:bCs/>
          <w:szCs w:val="24"/>
          <w:u w:val="single"/>
        </w:rPr>
        <w:t>TAF-CNLA-G40(2)</w:t>
      </w:r>
      <w:r w:rsidR="004A2660" w:rsidRPr="002871D0">
        <w:rPr>
          <w:rFonts w:cstheme="minorHAnsi" w:hint="eastAsia"/>
          <w:b/>
          <w:bCs/>
          <w:szCs w:val="24"/>
          <w:u w:val="single"/>
        </w:rPr>
        <w:t>」</w:t>
      </w:r>
      <w:r w:rsidR="004A2660">
        <w:rPr>
          <w:rFonts w:asciiTheme="minorEastAsia" w:hAnsiTheme="minorEastAsia" w:hint="eastAsia"/>
          <w:b/>
          <w:bCs/>
          <w:szCs w:val="24"/>
          <w:u w:val="single"/>
        </w:rPr>
        <w:t>。</w:t>
      </w:r>
    </w:p>
    <w:p w14:paraId="20EE4ED1" w14:textId="7A4D1CD3" w:rsidR="004A2660" w:rsidRDefault="004A2660" w:rsidP="00C01279">
      <w:pPr>
        <w:numPr>
          <w:ilvl w:val="3"/>
          <w:numId w:val="4"/>
        </w:numPr>
        <w:autoSpaceDE w:val="0"/>
        <w:autoSpaceDN w:val="0"/>
        <w:spacing w:line="360" w:lineRule="auto"/>
        <w:textAlignment w:val="bottom"/>
        <w:rPr>
          <w:b/>
          <w:bCs/>
          <w:szCs w:val="24"/>
          <w:u w:val="single"/>
        </w:rPr>
      </w:pPr>
      <w:r>
        <w:rPr>
          <w:rFonts w:hint="eastAsia"/>
          <w:b/>
          <w:bCs/>
          <w:szCs w:val="24"/>
          <w:u w:val="single"/>
        </w:rPr>
        <w:t>直接於檢驗資訊或性能特徵聲明目前該檢驗項目之量測不確定度分析目標為不可接受，當部分特殊項目查不到</w:t>
      </w:r>
      <w:proofErr w:type="spellStart"/>
      <w:r>
        <w:rPr>
          <w:b/>
          <w:bCs/>
          <w:szCs w:val="24"/>
          <w:u w:val="single"/>
        </w:rPr>
        <w:t>CV</w:t>
      </w:r>
      <w:r w:rsidRPr="00A93BAF">
        <w:rPr>
          <w:b/>
          <w:bCs/>
          <w:szCs w:val="24"/>
          <w:u w:val="single"/>
          <w:vertAlign w:val="subscript"/>
        </w:rPr>
        <w:t>i</w:t>
      </w:r>
      <w:proofErr w:type="spellEnd"/>
      <w:r>
        <w:rPr>
          <w:rFonts w:hint="eastAsia"/>
          <w:b/>
          <w:bCs/>
          <w:szCs w:val="24"/>
          <w:u w:val="single"/>
        </w:rPr>
        <w:t>時，則須參考室紀說明書性能規格</w:t>
      </w:r>
      <w:r>
        <w:rPr>
          <w:rFonts w:hint="eastAsia"/>
          <w:b/>
          <w:bCs/>
          <w:szCs w:val="24"/>
          <w:u w:val="single"/>
        </w:rPr>
        <w:t>(</w:t>
      </w:r>
      <w:r>
        <w:rPr>
          <w:b/>
          <w:bCs/>
          <w:szCs w:val="24"/>
          <w:u w:val="single"/>
        </w:rPr>
        <w:t>Day-to-Day Imprecision</w:t>
      </w:r>
      <w:r>
        <w:rPr>
          <w:rFonts w:hint="eastAsia"/>
          <w:b/>
          <w:bCs/>
          <w:szCs w:val="24"/>
          <w:u w:val="single"/>
        </w:rPr>
        <w:t>)</w:t>
      </w:r>
      <w:r>
        <w:rPr>
          <w:rFonts w:hint="eastAsia"/>
          <w:b/>
          <w:bCs/>
          <w:szCs w:val="24"/>
          <w:u w:val="single"/>
        </w:rPr>
        <w:t>並依實驗室先前</w:t>
      </w:r>
      <w:r>
        <w:rPr>
          <w:rFonts w:hint="eastAsia"/>
          <w:b/>
          <w:bCs/>
          <w:szCs w:val="24"/>
          <w:u w:val="single"/>
        </w:rPr>
        <w:t>CV</w:t>
      </w:r>
      <w:r>
        <w:rPr>
          <w:rFonts w:hint="eastAsia"/>
          <w:b/>
          <w:bCs/>
          <w:szCs w:val="24"/>
          <w:u w:val="single"/>
        </w:rPr>
        <w:t>自訂允收標準。</w:t>
      </w:r>
    </w:p>
    <w:p w14:paraId="7B57BB57" w14:textId="63EF621A" w:rsidR="003F13A3" w:rsidRDefault="003F13A3" w:rsidP="002871D0">
      <w:pPr>
        <w:numPr>
          <w:ilvl w:val="2"/>
          <w:numId w:val="4"/>
        </w:numPr>
        <w:autoSpaceDE w:val="0"/>
        <w:autoSpaceDN w:val="0"/>
        <w:spacing w:line="360" w:lineRule="auto"/>
        <w:textAlignment w:val="bottom"/>
        <w:rPr>
          <w:b/>
          <w:bCs/>
          <w:szCs w:val="24"/>
          <w:u w:val="single"/>
        </w:rPr>
      </w:pPr>
      <w:r>
        <w:rPr>
          <w:rFonts w:hint="eastAsia"/>
          <w:b/>
          <w:bCs/>
          <w:szCs w:val="24"/>
          <w:u w:val="single"/>
        </w:rPr>
        <w:t>當不確定度因子無法合理的被評估時，實驗室應有免責聲明並於檢驗報告中呈現。</w:t>
      </w:r>
    </w:p>
    <w:p w14:paraId="7F378A55" w14:textId="4D8AC777" w:rsidR="0024093A" w:rsidRDefault="0024093A" w:rsidP="002871D0">
      <w:pPr>
        <w:numPr>
          <w:ilvl w:val="1"/>
          <w:numId w:val="4"/>
        </w:numPr>
        <w:autoSpaceDE w:val="0"/>
        <w:autoSpaceDN w:val="0"/>
        <w:spacing w:line="360" w:lineRule="auto"/>
        <w:textAlignment w:val="bottom"/>
        <w:rPr>
          <w:b/>
          <w:bCs/>
          <w:szCs w:val="24"/>
          <w:u w:val="single"/>
        </w:rPr>
      </w:pPr>
      <w:r>
        <w:rPr>
          <w:rFonts w:hint="eastAsia"/>
          <w:b/>
          <w:bCs/>
          <w:szCs w:val="24"/>
          <w:u w:val="single"/>
        </w:rPr>
        <w:lastRenderedPageBreak/>
        <w:t>組合標準量測不確定度之評估：</w:t>
      </w:r>
    </w:p>
    <w:p w14:paraId="3F1EEA53" w14:textId="0C3F9B5A" w:rsidR="004A2660" w:rsidRPr="002871D0" w:rsidRDefault="004A2660">
      <w:pPr>
        <w:numPr>
          <w:ilvl w:val="2"/>
          <w:numId w:val="4"/>
        </w:numPr>
        <w:autoSpaceDE w:val="0"/>
        <w:autoSpaceDN w:val="0"/>
        <w:spacing w:line="360" w:lineRule="auto"/>
        <w:textAlignment w:val="bottom"/>
        <w:rPr>
          <w:b/>
          <w:bCs/>
          <w:szCs w:val="24"/>
          <w:u w:val="single"/>
        </w:rPr>
      </w:pPr>
      <w:r>
        <w:rPr>
          <w:rFonts w:hint="eastAsia"/>
          <w:b/>
          <w:bCs/>
          <w:szCs w:val="24"/>
          <w:u w:val="single"/>
        </w:rPr>
        <w:t>實驗室在計算組合標準量測不確定度之前，須先定義受測量，也就是量測物及其單位，並說明所使用之方法原理及所使用的設備、報告位數、臨床決斷值。</w:t>
      </w:r>
    </w:p>
    <w:p w14:paraId="53C28E31" w14:textId="4BA0E66A" w:rsidR="0024093A" w:rsidRDefault="0024093A" w:rsidP="00DB3CB0">
      <w:pPr>
        <w:numPr>
          <w:ilvl w:val="2"/>
          <w:numId w:val="4"/>
        </w:numPr>
        <w:autoSpaceDE w:val="0"/>
        <w:autoSpaceDN w:val="0"/>
        <w:spacing w:line="360" w:lineRule="auto"/>
        <w:textAlignment w:val="bottom"/>
        <w:rPr>
          <w:b/>
          <w:bCs/>
          <w:szCs w:val="24"/>
          <w:u w:val="single"/>
        </w:rPr>
      </w:pPr>
      <w:r w:rsidRPr="002871D0">
        <w:rPr>
          <w:rFonts w:hint="eastAsia"/>
          <w:b/>
          <w:bCs/>
          <w:szCs w:val="24"/>
          <w:u w:val="single"/>
        </w:rPr>
        <w:t>在計算組合標準量測不確定度時，實驗室可依據該項目同一批號品管物質及長期</w:t>
      </w:r>
      <w:r>
        <w:rPr>
          <w:rFonts w:hint="eastAsia"/>
          <w:b/>
          <w:bCs/>
          <w:szCs w:val="24"/>
          <w:u w:val="single"/>
        </w:rPr>
        <w:t>(</w:t>
      </w:r>
      <w:r>
        <w:rPr>
          <w:rFonts w:hint="eastAsia"/>
          <w:b/>
          <w:bCs/>
          <w:szCs w:val="24"/>
          <w:u w:val="single"/>
        </w:rPr>
        <w:t>半年至一年</w:t>
      </w:r>
      <w:r>
        <w:rPr>
          <w:rFonts w:hint="eastAsia"/>
          <w:b/>
          <w:bCs/>
          <w:szCs w:val="24"/>
          <w:u w:val="single"/>
        </w:rPr>
        <w:t>)</w:t>
      </w:r>
      <w:r>
        <w:rPr>
          <w:rFonts w:hint="eastAsia"/>
          <w:b/>
          <w:bCs/>
          <w:szCs w:val="24"/>
          <w:u w:val="single"/>
        </w:rPr>
        <w:t>之品管監控結果進行統計分析其標準差，此標準差</w:t>
      </w:r>
      <w:r>
        <w:rPr>
          <w:rFonts w:hint="eastAsia"/>
          <w:b/>
          <w:bCs/>
          <w:szCs w:val="24"/>
          <w:u w:val="single"/>
        </w:rPr>
        <w:t>(SD)</w:t>
      </w:r>
      <w:r w:rsidR="00EF28B2">
        <w:rPr>
          <w:rFonts w:hint="eastAsia"/>
          <w:b/>
          <w:bCs/>
          <w:szCs w:val="24"/>
          <w:u w:val="single"/>
        </w:rPr>
        <w:t>即</w:t>
      </w:r>
      <w:r>
        <w:rPr>
          <w:rFonts w:hint="eastAsia"/>
          <w:b/>
          <w:bCs/>
          <w:szCs w:val="24"/>
          <w:u w:val="single"/>
        </w:rPr>
        <w:t>為組合標準不確定度。</w:t>
      </w:r>
    </w:p>
    <w:p w14:paraId="7702175C" w14:textId="6FB58875" w:rsidR="00DB3CB0" w:rsidRDefault="0024093A" w:rsidP="00DB3CB0">
      <w:pPr>
        <w:numPr>
          <w:ilvl w:val="2"/>
          <w:numId w:val="4"/>
        </w:numPr>
        <w:autoSpaceDE w:val="0"/>
        <w:autoSpaceDN w:val="0"/>
        <w:spacing w:line="360" w:lineRule="auto"/>
        <w:textAlignment w:val="bottom"/>
        <w:rPr>
          <w:b/>
          <w:bCs/>
          <w:szCs w:val="24"/>
          <w:u w:val="single"/>
        </w:rPr>
      </w:pPr>
      <w:r>
        <w:rPr>
          <w:rFonts w:hint="eastAsia"/>
          <w:b/>
          <w:bCs/>
          <w:szCs w:val="24"/>
          <w:u w:val="single"/>
        </w:rPr>
        <w:t>在大部分的情況下標準不確定度即等於組合標準量測不確定度，組合標準量測不確定度應導以相對標準量測不確定度，即</w:t>
      </w:r>
      <w:r>
        <w:rPr>
          <w:rFonts w:hint="eastAsia"/>
          <w:b/>
          <w:bCs/>
          <w:szCs w:val="24"/>
          <w:u w:val="single"/>
        </w:rPr>
        <w:t>SD/</w:t>
      </w:r>
      <w:r>
        <w:rPr>
          <w:b/>
          <w:bCs/>
          <w:szCs w:val="24"/>
          <w:u w:val="single"/>
        </w:rPr>
        <w:t>mean</w:t>
      </w:r>
      <w:r>
        <w:rPr>
          <w:rFonts w:hint="eastAsia"/>
          <w:b/>
          <w:bCs/>
          <w:szCs w:val="24"/>
          <w:u w:val="single"/>
        </w:rPr>
        <w:t>，以</w:t>
      </w:r>
      <w:r>
        <w:rPr>
          <w:rFonts w:hint="eastAsia"/>
          <w:b/>
          <w:bCs/>
          <w:szCs w:val="24"/>
          <w:u w:val="single"/>
        </w:rPr>
        <w:t>CV(%)</w:t>
      </w:r>
      <w:r>
        <w:rPr>
          <w:rFonts w:hint="eastAsia"/>
          <w:b/>
          <w:bCs/>
          <w:szCs w:val="24"/>
          <w:u w:val="single"/>
        </w:rPr>
        <w:t>表示。</w:t>
      </w:r>
    </w:p>
    <w:p w14:paraId="2240D56F" w14:textId="723C5446" w:rsidR="00392426" w:rsidRDefault="00392426" w:rsidP="00DB3CB0">
      <w:pPr>
        <w:numPr>
          <w:ilvl w:val="2"/>
          <w:numId w:val="4"/>
        </w:numPr>
        <w:autoSpaceDE w:val="0"/>
        <w:autoSpaceDN w:val="0"/>
        <w:spacing w:line="360" w:lineRule="auto"/>
        <w:textAlignment w:val="bottom"/>
        <w:rPr>
          <w:b/>
          <w:bCs/>
          <w:szCs w:val="24"/>
          <w:u w:val="single"/>
        </w:rPr>
      </w:pPr>
      <w:r>
        <w:rPr>
          <w:rFonts w:hint="eastAsia"/>
          <w:b/>
          <w:bCs/>
          <w:szCs w:val="24"/>
          <w:u w:val="single"/>
        </w:rPr>
        <w:t>當檢測方法有使用不同濃度的品管物質時，實驗室須決定是否需要評估各濃度的不確定度，對於品管物質效期短，或不同批號的品管物質，實驗室可以個別統計半年至一年內歌批號之</w:t>
      </w:r>
      <w:r>
        <w:rPr>
          <w:rFonts w:hint="eastAsia"/>
          <w:b/>
          <w:bCs/>
          <w:szCs w:val="24"/>
          <w:u w:val="single"/>
        </w:rPr>
        <w:t>CV(%)</w:t>
      </w:r>
      <w:r>
        <w:rPr>
          <w:rFonts w:hint="eastAsia"/>
          <w:b/>
          <w:bCs/>
          <w:szCs w:val="24"/>
          <w:u w:val="single"/>
        </w:rPr>
        <w:t>，並取其最大者</w:t>
      </w:r>
      <w:r>
        <w:rPr>
          <w:rFonts w:hint="eastAsia"/>
          <w:b/>
          <w:bCs/>
          <w:szCs w:val="24"/>
          <w:u w:val="single"/>
        </w:rPr>
        <w:t>(</w:t>
      </w:r>
      <w:proofErr w:type="spellStart"/>
      <w:r>
        <w:rPr>
          <w:rFonts w:hint="eastAsia"/>
          <w:b/>
          <w:bCs/>
          <w:szCs w:val="24"/>
          <w:u w:val="single"/>
        </w:rPr>
        <w:t>CV</w:t>
      </w:r>
      <w:r w:rsidRPr="002871D0">
        <w:rPr>
          <w:b/>
          <w:bCs/>
          <w:szCs w:val="24"/>
          <w:u w:val="single"/>
          <w:vertAlign w:val="subscript"/>
        </w:rPr>
        <w:t>max</w:t>
      </w:r>
      <w:proofErr w:type="spellEnd"/>
      <w:r>
        <w:rPr>
          <w:b/>
          <w:bCs/>
          <w:szCs w:val="24"/>
          <w:u w:val="single"/>
        </w:rPr>
        <w:t>)</w:t>
      </w:r>
      <w:r>
        <w:rPr>
          <w:rFonts w:hint="eastAsia"/>
          <w:b/>
          <w:bCs/>
          <w:szCs w:val="24"/>
          <w:u w:val="single"/>
        </w:rPr>
        <w:t>定訂之。</w:t>
      </w:r>
    </w:p>
    <w:p w14:paraId="067CA408" w14:textId="77777777" w:rsidR="001D1BEC" w:rsidRDefault="001D1BEC" w:rsidP="001D1BEC">
      <w:pPr>
        <w:numPr>
          <w:ilvl w:val="2"/>
          <w:numId w:val="4"/>
        </w:numPr>
        <w:autoSpaceDE w:val="0"/>
        <w:autoSpaceDN w:val="0"/>
        <w:spacing w:line="360" w:lineRule="auto"/>
        <w:textAlignment w:val="bottom"/>
        <w:rPr>
          <w:b/>
          <w:bCs/>
          <w:szCs w:val="24"/>
          <w:u w:val="single"/>
        </w:rPr>
      </w:pPr>
      <w:r>
        <w:rPr>
          <w:rFonts w:hint="eastAsia"/>
          <w:b/>
          <w:bCs/>
          <w:szCs w:val="24"/>
          <w:u w:val="single"/>
        </w:rPr>
        <w:t>與目標不確定比較：</w:t>
      </w:r>
    </w:p>
    <w:p w14:paraId="0F79E756" w14:textId="76AD7090" w:rsidR="001D1BEC" w:rsidRDefault="001D1BEC" w:rsidP="001D1BEC">
      <w:pPr>
        <w:numPr>
          <w:ilvl w:val="3"/>
          <w:numId w:val="4"/>
        </w:numPr>
        <w:autoSpaceDE w:val="0"/>
        <w:autoSpaceDN w:val="0"/>
        <w:spacing w:line="360" w:lineRule="auto"/>
        <w:textAlignment w:val="bottom"/>
        <w:rPr>
          <w:b/>
          <w:bCs/>
          <w:szCs w:val="24"/>
          <w:u w:val="single"/>
        </w:rPr>
      </w:pPr>
      <w:r>
        <w:rPr>
          <w:rFonts w:hint="eastAsia"/>
          <w:b/>
          <w:bCs/>
          <w:szCs w:val="24"/>
          <w:u w:val="single"/>
        </w:rPr>
        <w:t>當實驗室估算出組合標準量測不確定度後，與目標不確定度比較並宣告是否符合判定水準。</w:t>
      </w:r>
    </w:p>
    <w:p w14:paraId="76C44436" w14:textId="5E985D5C" w:rsidR="001D1BEC" w:rsidRPr="002871D0" w:rsidRDefault="001D1BEC" w:rsidP="002871D0">
      <w:pPr>
        <w:numPr>
          <w:ilvl w:val="3"/>
          <w:numId w:val="4"/>
        </w:numPr>
        <w:autoSpaceDE w:val="0"/>
        <w:autoSpaceDN w:val="0"/>
        <w:spacing w:line="360" w:lineRule="auto"/>
        <w:textAlignment w:val="bottom"/>
        <w:rPr>
          <w:b/>
          <w:bCs/>
          <w:szCs w:val="24"/>
          <w:u w:val="single"/>
        </w:rPr>
      </w:pPr>
      <w:r>
        <w:rPr>
          <w:rFonts w:hint="eastAsia"/>
          <w:b/>
          <w:bCs/>
          <w:szCs w:val="24"/>
          <w:u w:val="single"/>
        </w:rPr>
        <w:t>若超出目標不確定度允收範圍，實驗室可以從已鑑別出的主要不確定度因子進行原因分析</w:t>
      </w:r>
      <w:r w:rsidR="00470A61">
        <w:rPr>
          <w:rFonts w:hint="eastAsia"/>
          <w:b/>
          <w:bCs/>
          <w:szCs w:val="24"/>
          <w:u w:val="single"/>
        </w:rPr>
        <w:t>，並設法降低其對不確定度的貢獻。</w:t>
      </w:r>
    </w:p>
    <w:p w14:paraId="264718B6" w14:textId="77777777" w:rsidR="007C1AFC" w:rsidRPr="007C1AFC" w:rsidRDefault="007C1AFC" w:rsidP="007C1AFC">
      <w:pPr>
        <w:pStyle w:val="aa"/>
        <w:numPr>
          <w:ilvl w:val="1"/>
          <w:numId w:val="4"/>
        </w:numPr>
        <w:spacing w:beforeLines="50" w:before="180"/>
        <w:ind w:leftChars="0"/>
        <w:jc w:val="both"/>
        <w:rPr>
          <w:rFonts w:eastAsiaTheme="majorEastAsia" w:cstheme="minorHAnsi"/>
        </w:rPr>
      </w:pPr>
      <w:r w:rsidRPr="007C1AFC">
        <w:rPr>
          <w:rFonts w:eastAsiaTheme="majorEastAsia" w:cstheme="minorHAnsi" w:hint="eastAsia"/>
        </w:rPr>
        <w:t>訂定量測不確定度評估之實施計劃：</w:t>
      </w:r>
    </w:p>
    <w:p w14:paraId="108BD45D" w14:textId="77777777" w:rsidR="007C1AFC" w:rsidRPr="007C1AFC" w:rsidRDefault="007C1AFC" w:rsidP="007C1AFC">
      <w:pPr>
        <w:pStyle w:val="aa"/>
        <w:numPr>
          <w:ilvl w:val="2"/>
          <w:numId w:val="4"/>
        </w:numPr>
        <w:spacing w:beforeLines="50" w:before="180"/>
        <w:ind w:leftChars="0"/>
        <w:jc w:val="both"/>
        <w:rPr>
          <w:rFonts w:eastAsiaTheme="majorEastAsia" w:cstheme="minorHAnsi"/>
        </w:rPr>
      </w:pPr>
      <w:r w:rsidRPr="007C1AFC">
        <w:rPr>
          <w:rFonts w:eastAsiaTheme="majorEastAsia" w:cstheme="minorHAnsi" w:hint="eastAsia"/>
        </w:rPr>
        <w:t>每年於管理審查會議時，由實驗室主管提出相關計劃及實施方式，經會議相關人員討論審查後，由會議主席裁定實施。</w:t>
      </w:r>
    </w:p>
    <w:p w14:paraId="5F5EA9E2" w14:textId="18F5B864" w:rsidR="007C1AFC" w:rsidRPr="007C1AFC" w:rsidRDefault="007C1AFC" w:rsidP="007C1AFC">
      <w:pPr>
        <w:pStyle w:val="aa"/>
        <w:numPr>
          <w:ilvl w:val="2"/>
          <w:numId w:val="4"/>
        </w:numPr>
        <w:spacing w:beforeLines="50" w:before="180"/>
        <w:ind w:leftChars="0"/>
        <w:jc w:val="both"/>
        <w:rPr>
          <w:rFonts w:eastAsiaTheme="majorEastAsia" w:cstheme="minorHAnsi"/>
        </w:rPr>
      </w:pPr>
      <w:r w:rsidRPr="007C1AFC">
        <w:rPr>
          <w:rFonts w:eastAsiaTheme="majorEastAsia" w:cstheme="minorHAnsi" w:hint="eastAsia"/>
        </w:rPr>
        <w:t>當本實驗室有新增檢測領域時，</w:t>
      </w:r>
      <w:r w:rsidR="00470A61" w:rsidRPr="002871D0">
        <w:rPr>
          <w:rFonts w:eastAsiaTheme="majorEastAsia" w:cstheme="minorHAnsi" w:hint="eastAsia"/>
          <w:b/>
          <w:bCs/>
          <w:u w:val="single"/>
        </w:rPr>
        <w:t>實驗室應</w:t>
      </w:r>
      <w:r w:rsidRPr="007C1AFC">
        <w:rPr>
          <w:rFonts w:eastAsiaTheme="majorEastAsia" w:cstheme="minorHAnsi" w:hint="eastAsia"/>
        </w:rPr>
        <w:t>建立該新增領域之量測不確定度需求</w:t>
      </w:r>
      <w:r w:rsidR="00470A61" w:rsidRPr="002871D0">
        <w:rPr>
          <w:rFonts w:eastAsiaTheme="majorEastAsia" w:cstheme="minorHAnsi" w:hint="eastAsia"/>
          <w:b/>
          <w:bCs/>
          <w:u w:val="single"/>
        </w:rPr>
        <w:t>評估</w:t>
      </w:r>
      <w:r w:rsidRPr="007C1AFC">
        <w:rPr>
          <w:rFonts w:eastAsiaTheme="majorEastAsia" w:cstheme="minorHAnsi" w:hint="eastAsia"/>
        </w:rPr>
        <w:t>，由實驗室主管與品質主管</w:t>
      </w:r>
      <w:r w:rsidR="00470A61" w:rsidRPr="002871D0">
        <w:rPr>
          <w:rFonts w:eastAsiaTheme="majorEastAsia" w:cstheme="minorHAnsi" w:hint="eastAsia"/>
          <w:b/>
          <w:bCs/>
          <w:u w:val="single"/>
        </w:rPr>
        <w:t>審</w:t>
      </w:r>
      <w:r w:rsidR="00470A61">
        <w:rPr>
          <w:rFonts w:eastAsiaTheme="majorEastAsia" w:cstheme="minorHAnsi" w:hint="eastAsia"/>
          <w:b/>
          <w:bCs/>
          <w:u w:val="single"/>
        </w:rPr>
        <w:t>核</w:t>
      </w:r>
      <w:r w:rsidRPr="007C1AFC">
        <w:rPr>
          <w:rFonts w:eastAsiaTheme="majorEastAsia" w:cstheme="minorHAnsi" w:hint="eastAsia"/>
        </w:rPr>
        <w:t>是否</w:t>
      </w:r>
      <w:r w:rsidR="00470A61" w:rsidRPr="002871D0">
        <w:rPr>
          <w:rFonts w:eastAsiaTheme="majorEastAsia" w:cstheme="minorHAnsi" w:hint="eastAsia"/>
          <w:b/>
          <w:bCs/>
          <w:u w:val="single"/>
        </w:rPr>
        <w:t>需要建立該</w:t>
      </w:r>
      <w:r w:rsidRPr="007C1AFC">
        <w:rPr>
          <w:rFonts w:eastAsiaTheme="majorEastAsia" w:cstheme="minorHAnsi" w:hint="eastAsia"/>
        </w:rPr>
        <w:t>領域之量測不確定度</w:t>
      </w:r>
      <w:r w:rsidR="0097305B" w:rsidRPr="002871D0">
        <w:rPr>
          <w:rFonts w:eastAsiaTheme="majorEastAsia" w:cstheme="minorHAnsi" w:hint="eastAsia"/>
          <w:b/>
          <w:bCs/>
          <w:u w:val="single"/>
        </w:rPr>
        <w:lastRenderedPageBreak/>
        <w:t>實施計畫</w:t>
      </w:r>
      <w:r w:rsidRPr="007C1AFC">
        <w:rPr>
          <w:rFonts w:eastAsiaTheme="majorEastAsia" w:cstheme="minorHAnsi" w:hint="eastAsia"/>
        </w:rPr>
        <w:t>。</w:t>
      </w:r>
    </w:p>
    <w:p w14:paraId="4DA8227C" w14:textId="5A6136DA" w:rsidR="007C1AFC" w:rsidRPr="007C1AFC" w:rsidRDefault="007C1AFC" w:rsidP="007C1AFC">
      <w:pPr>
        <w:pStyle w:val="aa"/>
        <w:numPr>
          <w:ilvl w:val="2"/>
          <w:numId w:val="4"/>
        </w:numPr>
        <w:spacing w:beforeLines="50" w:before="180"/>
        <w:ind w:leftChars="0"/>
        <w:jc w:val="both"/>
        <w:rPr>
          <w:rFonts w:eastAsiaTheme="majorEastAsia" w:cstheme="minorHAnsi"/>
        </w:rPr>
      </w:pPr>
      <w:r w:rsidRPr="007C1AFC">
        <w:rPr>
          <w:rFonts w:eastAsiaTheme="majorEastAsia" w:cstheme="minorHAnsi" w:hint="eastAsia"/>
        </w:rPr>
        <w:t>當實驗室主管與品質主管</w:t>
      </w:r>
      <w:r w:rsidR="00470A61" w:rsidRPr="002871D0">
        <w:rPr>
          <w:rFonts w:eastAsiaTheme="majorEastAsia" w:cstheme="minorHAnsi" w:hint="eastAsia"/>
          <w:b/>
          <w:bCs/>
          <w:u w:val="single"/>
        </w:rPr>
        <w:t>審核</w:t>
      </w:r>
      <w:r w:rsidRPr="007C1AFC">
        <w:rPr>
          <w:rFonts w:eastAsiaTheme="majorEastAsia" w:cstheme="minorHAnsi" w:hint="eastAsia"/>
        </w:rPr>
        <w:t>後確定實驗室需執行量測不確定度</w:t>
      </w:r>
      <w:r w:rsidR="00470A61" w:rsidRPr="002871D0">
        <w:rPr>
          <w:rFonts w:eastAsiaTheme="majorEastAsia" w:cstheme="minorHAnsi" w:hint="eastAsia"/>
          <w:b/>
          <w:bCs/>
          <w:u w:val="single"/>
        </w:rPr>
        <w:t>計畫</w:t>
      </w:r>
      <w:r w:rsidRPr="007C1AFC">
        <w:rPr>
          <w:rFonts w:eastAsiaTheme="majorEastAsia" w:cstheme="minorHAnsi" w:hint="eastAsia"/>
        </w:rPr>
        <w:t>後，實驗室主管應擬定實施計劃，並召開說明會，說明實施方式。</w:t>
      </w:r>
    </w:p>
    <w:p w14:paraId="463FD1A7" w14:textId="77777777" w:rsidR="00C65B78" w:rsidRPr="007C1AFC" w:rsidRDefault="007C1AFC" w:rsidP="007C1AFC">
      <w:pPr>
        <w:pStyle w:val="aa"/>
        <w:numPr>
          <w:ilvl w:val="1"/>
          <w:numId w:val="4"/>
        </w:numPr>
        <w:spacing w:beforeLines="50" w:before="180"/>
        <w:ind w:leftChars="0"/>
        <w:jc w:val="both"/>
        <w:rPr>
          <w:rFonts w:eastAsiaTheme="majorEastAsia" w:cstheme="minorHAnsi"/>
        </w:rPr>
      </w:pPr>
      <w:r w:rsidRPr="00D42704">
        <w:rPr>
          <w:szCs w:val="24"/>
        </w:rPr>
        <w:t>執行方式</w:t>
      </w:r>
      <w:r w:rsidRPr="00D42704">
        <w:rPr>
          <w:rFonts w:hint="eastAsia"/>
          <w:szCs w:val="24"/>
        </w:rPr>
        <w:t>：</w:t>
      </w:r>
    </w:p>
    <w:p w14:paraId="195ACF02" w14:textId="77777777" w:rsidR="007C1AFC" w:rsidRPr="007C1AFC" w:rsidRDefault="007C1AFC" w:rsidP="007C1AFC">
      <w:pPr>
        <w:pStyle w:val="aa"/>
        <w:numPr>
          <w:ilvl w:val="2"/>
          <w:numId w:val="4"/>
        </w:numPr>
        <w:spacing w:beforeLines="50" w:before="180"/>
        <w:ind w:leftChars="0"/>
        <w:jc w:val="both"/>
        <w:rPr>
          <w:rFonts w:eastAsiaTheme="majorEastAsia" w:cstheme="minorHAnsi"/>
        </w:rPr>
      </w:pPr>
      <w:r w:rsidRPr="007C1AFC">
        <w:rPr>
          <w:rFonts w:eastAsiaTheme="majorEastAsia" w:cstheme="minorHAnsi" w:hint="eastAsia"/>
        </w:rPr>
        <w:t>實驗室主管指派實驗室內符合資格認定之實驗室人員參與量測計劃，並監督參與人員之量測活動是否符合作業要求，遇量測方式有誤或量測數據偏差過大時，需協助實驗室人員修正之，以確保日後估算之不確定度不會產生過大誤差。</w:t>
      </w:r>
    </w:p>
    <w:p w14:paraId="4BC44350" w14:textId="77777777" w:rsidR="007C1AFC" w:rsidRDefault="007C1AFC" w:rsidP="007C1AFC">
      <w:pPr>
        <w:pStyle w:val="aa"/>
        <w:numPr>
          <w:ilvl w:val="2"/>
          <w:numId w:val="4"/>
        </w:numPr>
        <w:spacing w:beforeLines="50" w:before="180"/>
        <w:ind w:leftChars="0"/>
        <w:jc w:val="both"/>
        <w:rPr>
          <w:rFonts w:eastAsiaTheme="majorEastAsia" w:cstheme="minorHAnsi"/>
        </w:rPr>
      </w:pPr>
      <w:r w:rsidRPr="007C1AFC">
        <w:rPr>
          <w:rFonts w:eastAsiaTheme="majorEastAsia" w:cstheme="minorHAnsi" w:hint="eastAsia"/>
        </w:rPr>
        <w:t>其相關量測之作業方式與注意事項，皆依據各類量測不確定度計算方式之文件。</w:t>
      </w:r>
    </w:p>
    <w:p w14:paraId="435727C2" w14:textId="77777777" w:rsidR="007C1AFC" w:rsidRPr="002C49FE" w:rsidRDefault="007C1AFC" w:rsidP="007C1AFC">
      <w:pPr>
        <w:pStyle w:val="aa"/>
        <w:numPr>
          <w:ilvl w:val="2"/>
          <w:numId w:val="4"/>
        </w:numPr>
        <w:spacing w:beforeLines="50" w:before="180"/>
        <w:ind w:leftChars="0"/>
        <w:jc w:val="both"/>
        <w:rPr>
          <w:rFonts w:eastAsiaTheme="majorEastAsia" w:cstheme="minorHAnsi"/>
        </w:rPr>
      </w:pPr>
      <w:r w:rsidRPr="00D42704">
        <w:rPr>
          <w:szCs w:val="24"/>
        </w:rPr>
        <w:t>量測過程中所產生之各項量測數據或表單</w:t>
      </w:r>
      <w:r w:rsidRPr="00D42704">
        <w:rPr>
          <w:rFonts w:hint="eastAsia"/>
          <w:szCs w:val="24"/>
        </w:rPr>
        <w:t>記錄</w:t>
      </w:r>
      <w:r w:rsidRPr="00D42704">
        <w:rPr>
          <w:szCs w:val="24"/>
        </w:rPr>
        <w:t>，均列為管制資料不對外發行，當計劃完結時，由</w:t>
      </w:r>
      <w:r>
        <w:rPr>
          <w:rFonts w:hint="eastAsia"/>
          <w:szCs w:val="24"/>
        </w:rPr>
        <w:t>品質主管</w:t>
      </w:r>
      <w:r w:rsidRPr="00D42704">
        <w:rPr>
          <w:szCs w:val="24"/>
        </w:rPr>
        <w:t>回收相關數據與表單，並歸類於技術手冊列入管制之。</w:t>
      </w:r>
    </w:p>
    <w:p w14:paraId="019D1333" w14:textId="77777777" w:rsidR="004D7CAF" w:rsidRPr="00EB126B" w:rsidRDefault="004D7CAF" w:rsidP="004D7CAF">
      <w:pPr>
        <w:pStyle w:val="aa"/>
        <w:numPr>
          <w:ilvl w:val="0"/>
          <w:numId w:val="4"/>
        </w:numPr>
        <w:spacing w:beforeLines="50" w:before="180"/>
        <w:ind w:leftChars="0"/>
        <w:jc w:val="both"/>
        <w:rPr>
          <w:rFonts w:eastAsiaTheme="majorEastAsia" w:cstheme="minorHAnsi"/>
        </w:rPr>
      </w:pPr>
      <w:r w:rsidRPr="00EB126B">
        <w:rPr>
          <w:rFonts w:eastAsiaTheme="majorEastAsia" w:cstheme="minorHAnsi"/>
        </w:rPr>
        <w:t>參考文件：</w:t>
      </w:r>
    </w:p>
    <w:p w14:paraId="01F63737" w14:textId="77777777" w:rsidR="00EB126B" w:rsidRPr="00EB126B" w:rsidRDefault="00EB126B" w:rsidP="00EB126B">
      <w:pPr>
        <w:pStyle w:val="aa"/>
        <w:numPr>
          <w:ilvl w:val="1"/>
          <w:numId w:val="4"/>
        </w:numPr>
        <w:spacing w:beforeLines="50" w:before="180"/>
        <w:ind w:leftChars="0"/>
        <w:jc w:val="both"/>
        <w:rPr>
          <w:rFonts w:cstheme="minorHAnsi"/>
        </w:rPr>
      </w:pPr>
      <w:r w:rsidRPr="00EB126B">
        <w:rPr>
          <w:rFonts w:cstheme="minorHAnsi"/>
        </w:rPr>
        <w:t>ISO 15189</w:t>
      </w:r>
    </w:p>
    <w:p w14:paraId="5DB0E87C" w14:textId="77777777" w:rsidR="00EB126B" w:rsidRPr="00EB126B" w:rsidRDefault="00EB126B" w:rsidP="00EB126B">
      <w:pPr>
        <w:pStyle w:val="aa"/>
        <w:numPr>
          <w:ilvl w:val="1"/>
          <w:numId w:val="4"/>
        </w:numPr>
        <w:spacing w:beforeLines="50" w:before="180"/>
        <w:ind w:leftChars="0"/>
        <w:jc w:val="both"/>
        <w:rPr>
          <w:rFonts w:cstheme="minorHAnsi"/>
        </w:rPr>
      </w:pPr>
      <w:r w:rsidRPr="00EB126B">
        <w:rPr>
          <w:rFonts w:cstheme="minorHAnsi"/>
        </w:rPr>
        <w:t>醫學領域病理實驗室技術指引</w:t>
      </w:r>
      <w:r w:rsidRPr="00EB126B">
        <w:rPr>
          <w:rFonts w:cstheme="minorHAnsi"/>
        </w:rPr>
        <w:t xml:space="preserve"> TAF-CNLA-G41</w:t>
      </w:r>
    </w:p>
    <w:p w14:paraId="66D3C887" w14:textId="51C574CC" w:rsidR="00EB126B" w:rsidRPr="002871D0" w:rsidRDefault="00EB126B" w:rsidP="00EB126B">
      <w:pPr>
        <w:pStyle w:val="aa"/>
        <w:numPr>
          <w:ilvl w:val="1"/>
          <w:numId w:val="4"/>
        </w:numPr>
        <w:spacing w:beforeLines="50" w:before="180"/>
        <w:ind w:leftChars="0"/>
        <w:jc w:val="both"/>
        <w:rPr>
          <w:rFonts w:eastAsiaTheme="majorEastAsia" w:cstheme="minorHAnsi"/>
        </w:rPr>
      </w:pPr>
      <w:r w:rsidRPr="00EB126B">
        <w:rPr>
          <w:rFonts w:cstheme="minorHAnsi"/>
        </w:rPr>
        <w:t>台灣病理學會分子病理認證基準</w:t>
      </w:r>
    </w:p>
    <w:p w14:paraId="1F1E9FE9" w14:textId="1A039EB0" w:rsidR="00470A61" w:rsidRPr="00EB126B" w:rsidRDefault="00470A61" w:rsidP="00EB126B">
      <w:pPr>
        <w:pStyle w:val="aa"/>
        <w:numPr>
          <w:ilvl w:val="1"/>
          <w:numId w:val="4"/>
        </w:numPr>
        <w:spacing w:beforeLines="50" w:before="180"/>
        <w:ind w:leftChars="0"/>
        <w:jc w:val="both"/>
        <w:rPr>
          <w:rFonts w:eastAsiaTheme="majorEastAsia" w:cstheme="minorHAnsi"/>
        </w:rPr>
      </w:pPr>
      <w:r>
        <w:rPr>
          <w:rFonts w:asciiTheme="minorEastAsia" w:hAnsiTheme="minorEastAsia" w:hint="eastAsia"/>
          <w:b/>
          <w:bCs/>
          <w:szCs w:val="24"/>
          <w:u w:val="single"/>
        </w:rPr>
        <w:t>醫學實驗室定量量測不確定度評估案例</w:t>
      </w:r>
      <w:r w:rsidRPr="00A93BAF">
        <w:rPr>
          <w:rFonts w:cstheme="minorHAnsi"/>
          <w:b/>
          <w:bCs/>
          <w:szCs w:val="24"/>
          <w:u w:val="single"/>
        </w:rPr>
        <w:t>TAF-CNLA-G40(2)</w:t>
      </w:r>
    </w:p>
    <w:p w14:paraId="65C0CEB7" w14:textId="5E8227AE" w:rsidR="00C65B78" w:rsidRDefault="004D7CAF" w:rsidP="00DB3CB0">
      <w:pPr>
        <w:pStyle w:val="aa"/>
        <w:numPr>
          <w:ilvl w:val="0"/>
          <w:numId w:val="4"/>
        </w:numPr>
        <w:spacing w:beforeLines="50" w:before="180"/>
        <w:ind w:leftChars="0"/>
        <w:jc w:val="both"/>
        <w:rPr>
          <w:rFonts w:eastAsiaTheme="majorEastAsia" w:cstheme="minorHAnsi"/>
        </w:rPr>
      </w:pPr>
      <w:r w:rsidRPr="00EB126B">
        <w:rPr>
          <w:rFonts w:eastAsiaTheme="majorEastAsia" w:cstheme="minorHAnsi"/>
        </w:rPr>
        <w:t>相關文件與表單：</w:t>
      </w:r>
    </w:p>
    <w:p w14:paraId="2B5FB11B" w14:textId="4C562F12" w:rsidR="000D19FD" w:rsidRPr="002871D0" w:rsidRDefault="000D19FD" w:rsidP="000D19FD">
      <w:pPr>
        <w:pStyle w:val="aa"/>
        <w:numPr>
          <w:ilvl w:val="1"/>
          <w:numId w:val="4"/>
        </w:numPr>
        <w:spacing w:beforeLines="50" w:before="180"/>
        <w:ind w:leftChars="0"/>
        <w:jc w:val="both"/>
        <w:rPr>
          <w:rFonts w:eastAsiaTheme="majorEastAsia" w:cstheme="minorHAnsi"/>
        </w:rPr>
      </w:pPr>
      <w:r>
        <w:rPr>
          <w:rFonts w:eastAsiaTheme="majorEastAsia" w:cstheme="minorHAnsi" w:hint="eastAsia"/>
          <w:b/>
          <w:bCs/>
          <w:u w:val="single"/>
        </w:rPr>
        <w:t>附件一、量測不確定度整理評估流程圖</w:t>
      </w:r>
    </w:p>
    <w:p w14:paraId="2158AB38" w14:textId="0CA9C5A2" w:rsidR="0097305B" w:rsidRDefault="0097305B">
      <w:pPr>
        <w:widowControl/>
        <w:rPr>
          <w:rFonts w:eastAsiaTheme="majorEastAsia" w:cstheme="minorHAnsi"/>
        </w:rPr>
      </w:pPr>
      <w:r>
        <w:rPr>
          <w:rFonts w:eastAsiaTheme="majorEastAsia" w:cstheme="minorHAnsi"/>
        </w:rPr>
        <w:br w:type="page"/>
      </w:r>
    </w:p>
    <w:p w14:paraId="680F8D6C" w14:textId="25E959EC" w:rsidR="0097305B" w:rsidRDefault="0097305B" w:rsidP="0097305B">
      <w:pPr>
        <w:spacing w:beforeLines="50" w:before="180"/>
        <w:jc w:val="both"/>
        <w:rPr>
          <w:rFonts w:eastAsiaTheme="majorEastAsia" w:cstheme="minorHAnsi"/>
          <w:b/>
          <w:bCs/>
          <w:u w:val="single"/>
        </w:rPr>
      </w:pPr>
      <w:r>
        <w:rPr>
          <w:rFonts w:eastAsiaTheme="majorEastAsia" w:cstheme="minorHAnsi" w:hint="eastAsia"/>
          <w:b/>
          <w:bCs/>
          <w:u w:val="single"/>
        </w:rPr>
        <w:lastRenderedPageBreak/>
        <w:t>附件一、量測不確定度整理評估流程圖</w:t>
      </w:r>
    </w:p>
    <w:p w14:paraId="042B689D" w14:textId="3F74E7C6" w:rsidR="0097305B" w:rsidRPr="002871D0" w:rsidRDefault="0097305B" w:rsidP="002871D0">
      <w:pPr>
        <w:spacing w:beforeLines="50" w:before="180"/>
        <w:jc w:val="both"/>
        <w:rPr>
          <w:rFonts w:eastAsiaTheme="majorEastAsia" w:cstheme="minorHAnsi"/>
        </w:rPr>
      </w:pPr>
      <w:r>
        <w:rPr>
          <w:rFonts w:eastAsiaTheme="majorEastAsia" w:cstheme="minorHAnsi" w:hint="eastAsia"/>
          <w:noProof/>
        </w:rPr>
        <w:drawing>
          <wp:inline distT="0" distB="0" distL="0" distR="0" wp14:anchorId="02EC7126" wp14:editId="3C724FAC">
            <wp:extent cx="5939790" cy="499872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量測不確定度評估流程圖.png"/>
                    <pic:cNvPicPr/>
                  </pic:nvPicPr>
                  <pic:blipFill>
                    <a:blip r:embed="rId8">
                      <a:extLst>
                        <a:ext uri="{28A0092B-C50C-407E-A947-70E740481C1C}">
                          <a14:useLocalDpi xmlns:a14="http://schemas.microsoft.com/office/drawing/2010/main" val="0"/>
                        </a:ext>
                      </a:extLst>
                    </a:blip>
                    <a:stretch>
                      <a:fillRect/>
                    </a:stretch>
                  </pic:blipFill>
                  <pic:spPr>
                    <a:xfrm>
                      <a:off x="0" y="0"/>
                      <a:ext cx="5939790" cy="4998720"/>
                    </a:xfrm>
                    <a:prstGeom prst="rect">
                      <a:avLst/>
                    </a:prstGeom>
                  </pic:spPr>
                </pic:pic>
              </a:graphicData>
            </a:graphic>
          </wp:inline>
        </w:drawing>
      </w:r>
    </w:p>
    <w:sectPr w:rsidR="0097305B" w:rsidRPr="002871D0" w:rsidSect="00836606">
      <w:headerReference w:type="default" r:id="rId9"/>
      <w:pgSz w:w="11906" w:h="16838" w:code="9"/>
      <w:pgMar w:top="1134" w:right="1134" w:bottom="1134" w:left="1418" w:header="680" w:footer="992" w:gutter="0"/>
      <w:pgBorders w:offsetFrom="page">
        <w:top w:val="single" w:sz="12" w:space="24" w:color="auto"/>
        <w:left w:val="single" w:sz="12" w:space="24" w:color="auto"/>
        <w:bottom w:val="single" w:sz="12" w:space="24" w:color="auto"/>
        <w:right w:val="single" w:sz="12"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488E7" w14:textId="77777777" w:rsidR="00BA4A2C" w:rsidRDefault="00BA4A2C" w:rsidP="00836606">
      <w:r>
        <w:separator/>
      </w:r>
    </w:p>
  </w:endnote>
  <w:endnote w:type="continuationSeparator" w:id="0">
    <w:p w14:paraId="6830F3AD" w14:textId="77777777" w:rsidR="00BA4A2C" w:rsidRDefault="00BA4A2C" w:rsidP="00836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8DEE7" w14:textId="77777777" w:rsidR="00BA4A2C" w:rsidRDefault="00BA4A2C" w:rsidP="00836606">
      <w:r>
        <w:separator/>
      </w:r>
    </w:p>
  </w:footnote>
  <w:footnote w:type="continuationSeparator" w:id="0">
    <w:p w14:paraId="3F7727B8" w14:textId="77777777" w:rsidR="00BA4A2C" w:rsidRDefault="00BA4A2C" w:rsidP="00836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Look w:val="04A0" w:firstRow="1" w:lastRow="0" w:firstColumn="1" w:lastColumn="0" w:noHBand="0" w:noVBand="1"/>
    </w:tblPr>
    <w:tblGrid>
      <w:gridCol w:w="1561"/>
      <w:gridCol w:w="1561"/>
      <w:gridCol w:w="954"/>
      <w:gridCol w:w="600"/>
      <w:gridCol w:w="671"/>
      <w:gridCol w:w="886"/>
      <w:gridCol w:w="1545"/>
      <w:gridCol w:w="1546"/>
    </w:tblGrid>
    <w:tr w:rsidR="001D1BEC" w14:paraId="5EFC1276" w14:textId="77777777" w:rsidTr="00597D45">
      <w:trPr>
        <w:trHeight w:val="535"/>
      </w:trPr>
      <w:tc>
        <w:tcPr>
          <w:tcW w:w="4077" w:type="dxa"/>
          <w:gridSpan w:val="3"/>
          <w:vMerge w:val="restart"/>
          <w:tcBorders>
            <w:top w:val="double" w:sz="4" w:space="0" w:color="auto"/>
            <w:left w:val="double" w:sz="4" w:space="0" w:color="auto"/>
          </w:tcBorders>
          <w:vAlign w:val="center"/>
        </w:tcPr>
        <w:p w14:paraId="2DADDF87" w14:textId="77777777" w:rsidR="001D1BEC" w:rsidRDefault="001D1BEC" w:rsidP="00597D45">
          <w:pPr>
            <w:jc w:val="both"/>
          </w:pPr>
          <w:r>
            <w:rPr>
              <w:noProof/>
            </w:rPr>
            <w:drawing>
              <wp:inline distT="0" distB="0" distL="0" distR="0" wp14:anchorId="43819EED" wp14:editId="5EBAC3DC">
                <wp:extent cx="2362200" cy="504825"/>
                <wp:effectExtent l="0" t="0" r="0" b="9525"/>
                <wp:docPr id="1" name="圖片 1" descr="黑色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黑色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504825"/>
                        </a:xfrm>
                        <a:prstGeom prst="rect">
                          <a:avLst/>
                        </a:prstGeom>
                        <a:noFill/>
                        <a:ln>
                          <a:noFill/>
                        </a:ln>
                      </pic:spPr>
                    </pic:pic>
                  </a:graphicData>
                </a:graphic>
              </wp:inline>
            </w:drawing>
          </w:r>
        </w:p>
      </w:tc>
      <w:tc>
        <w:tcPr>
          <w:tcW w:w="1276" w:type="dxa"/>
          <w:gridSpan w:val="2"/>
          <w:tcBorders>
            <w:top w:val="double" w:sz="4" w:space="0" w:color="auto"/>
          </w:tcBorders>
          <w:vAlign w:val="center"/>
        </w:tcPr>
        <w:p w14:paraId="0264FD10" w14:textId="77777777" w:rsidR="001D1BEC" w:rsidRDefault="001D1BEC" w:rsidP="00597D45">
          <w:pPr>
            <w:jc w:val="both"/>
          </w:pPr>
          <w:r>
            <w:rPr>
              <w:rFonts w:hint="eastAsia"/>
            </w:rPr>
            <w:t>文件名稱</w:t>
          </w:r>
        </w:p>
      </w:tc>
      <w:tc>
        <w:tcPr>
          <w:tcW w:w="4012" w:type="dxa"/>
          <w:gridSpan w:val="3"/>
          <w:tcBorders>
            <w:top w:val="double" w:sz="4" w:space="0" w:color="auto"/>
            <w:right w:val="double" w:sz="4" w:space="0" w:color="auto"/>
          </w:tcBorders>
          <w:vAlign w:val="center"/>
        </w:tcPr>
        <w:p w14:paraId="774CF912" w14:textId="77777777" w:rsidR="001D1BEC" w:rsidRDefault="001D1BEC" w:rsidP="00597D45">
          <w:pPr>
            <w:jc w:val="both"/>
          </w:pPr>
          <w:r>
            <w:rPr>
              <w:rFonts w:hint="eastAsia"/>
            </w:rPr>
            <w:t>量測不確定度</w:t>
          </w:r>
          <w:r w:rsidRPr="00AC7786">
            <w:rPr>
              <w:rFonts w:hint="eastAsia"/>
            </w:rPr>
            <w:t>管制程序書</w:t>
          </w:r>
        </w:p>
      </w:tc>
    </w:tr>
    <w:tr w:rsidR="001D1BEC" w14:paraId="61037445" w14:textId="77777777" w:rsidTr="00597D45">
      <w:trPr>
        <w:trHeight w:val="535"/>
      </w:trPr>
      <w:tc>
        <w:tcPr>
          <w:tcW w:w="4077" w:type="dxa"/>
          <w:gridSpan w:val="3"/>
          <w:vMerge/>
          <w:tcBorders>
            <w:left w:val="double" w:sz="4" w:space="0" w:color="auto"/>
            <w:bottom w:val="double" w:sz="4" w:space="0" w:color="auto"/>
          </w:tcBorders>
          <w:vAlign w:val="center"/>
        </w:tcPr>
        <w:p w14:paraId="075D316E" w14:textId="77777777" w:rsidR="001D1BEC" w:rsidRDefault="001D1BEC" w:rsidP="00597D45">
          <w:pPr>
            <w:jc w:val="both"/>
          </w:pPr>
        </w:p>
      </w:tc>
      <w:tc>
        <w:tcPr>
          <w:tcW w:w="1276" w:type="dxa"/>
          <w:gridSpan w:val="2"/>
          <w:tcBorders>
            <w:bottom w:val="double" w:sz="4" w:space="0" w:color="auto"/>
          </w:tcBorders>
          <w:vAlign w:val="center"/>
        </w:tcPr>
        <w:p w14:paraId="1D3E0668" w14:textId="77777777" w:rsidR="001D1BEC" w:rsidRDefault="001D1BEC" w:rsidP="00597D45">
          <w:pPr>
            <w:jc w:val="both"/>
          </w:pPr>
          <w:r>
            <w:rPr>
              <w:rFonts w:hint="eastAsia"/>
            </w:rPr>
            <w:t>文件編號</w:t>
          </w:r>
        </w:p>
      </w:tc>
      <w:tc>
        <w:tcPr>
          <w:tcW w:w="4012" w:type="dxa"/>
          <w:gridSpan w:val="3"/>
          <w:tcBorders>
            <w:bottom w:val="double" w:sz="4" w:space="0" w:color="auto"/>
            <w:right w:val="double" w:sz="4" w:space="0" w:color="auto"/>
          </w:tcBorders>
          <w:vAlign w:val="center"/>
        </w:tcPr>
        <w:p w14:paraId="6F887528" w14:textId="77777777" w:rsidR="001D1BEC" w:rsidRDefault="001D1BEC" w:rsidP="00597D45">
          <w:pPr>
            <w:jc w:val="both"/>
          </w:pPr>
          <w:r>
            <w:t>QC03</w:t>
          </w:r>
        </w:p>
      </w:tc>
    </w:tr>
    <w:tr w:rsidR="001D1BEC" w14:paraId="776FD2E6" w14:textId="77777777" w:rsidTr="00836606">
      <w:trPr>
        <w:trHeight w:val="382"/>
      </w:trPr>
      <w:tc>
        <w:tcPr>
          <w:tcW w:w="1560" w:type="dxa"/>
          <w:tcBorders>
            <w:top w:val="double" w:sz="4" w:space="0" w:color="auto"/>
            <w:left w:val="double" w:sz="4" w:space="0" w:color="auto"/>
          </w:tcBorders>
          <w:vAlign w:val="center"/>
        </w:tcPr>
        <w:p w14:paraId="5C9054E7" w14:textId="77777777" w:rsidR="001D1BEC" w:rsidRDefault="001D1BEC" w:rsidP="00836606">
          <w:pPr>
            <w:jc w:val="center"/>
          </w:pPr>
          <w:r>
            <w:rPr>
              <w:rFonts w:hint="eastAsia"/>
            </w:rPr>
            <w:t>制訂日期</w:t>
          </w:r>
        </w:p>
      </w:tc>
      <w:tc>
        <w:tcPr>
          <w:tcW w:w="1561" w:type="dxa"/>
          <w:tcBorders>
            <w:top w:val="double" w:sz="4" w:space="0" w:color="auto"/>
          </w:tcBorders>
          <w:vAlign w:val="center"/>
        </w:tcPr>
        <w:p w14:paraId="281619F4" w14:textId="77777777" w:rsidR="001D1BEC" w:rsidRDefault="001D1BEC" w:rsidP="00836606">
          <w:pPr>
            <w:jc w:val="center"/>
          </w:pPr>
          <w:r>
            <w:rPr>
              <w:rFonts w:hint="eastAsia"/>
            </w:rPr>
            <w:t>2018/05/02</w:t>
          </w:r>
        </w:p>
      </w:tc>
      <w:tc>
        <w:tcPr>
          <w:tcW w:w="1561" w:type="dxa"/>
          <w:gridSpan w:val="2"/>
          <w:tcBorders>
            <w:top w:val="double" w:sz="4" w:space="0" w:color="auto"/>
          </w:tcBorders>
          <w:vAlign w:val="center"/>
        </w:tcPr>
        <w:p w14:paraId="72EE7F07" w14:textId="77777777" w:rsidR="001D1BEC" w:rsidRDefault="001D1BEC" w:rsidP="00836606">
          <w:pPr>
            <w:jc w:val="center"/>
          </w:pPr>
          <w:r>
            <w:rPr>
              <w:rFonts w:hint="eastAsia"/>
            </w:rPr>
            <w:t>修訂日期</w:t>
          </w:r>
        </w:p>
      </w:tc>
      <w:tc>
        <w:tcPr>
          <w:tcW w:w="1561" w:type="dxa"/>
          <w:gridSpan w:val="2"/>
          <w:tcBorders>
            <w:top w:val="double" w:sz="4" w:space="0" w:color="auto"/>
          </w:tcBorders>
          <w:vAlign w:val="center"/>
        </w:tcPr>
        <w:p w14:paraId="428C2422" w14:textId="0F73349D" w:rsidR="001D1BEC" w:rsidRDefault="001D1BEC" w:rsidP="00836606">
          <w:pPr>
            <w:jc w:val="center"/>
          </w:pPr>
          <w:r>
            <w:rPr>
              <w:rFonts w:hint="eastAsia"/>
            </w:rPr>
            <w:t>2</w:t>
          </w:r>
          <w:r w:rsidR="002871D0">
            <w:rPr>
              <w:rFonts w:hint="eastAsia"/>
            </w:rPr>
            <w:t>019/10/14</w:t>
          </w:r>
        </w:p>
      </w:tc>
      <w:tc>
        <w:tcPr>
          <w:tcW w:w="1561" w:type="dxa"/>
          <w:tcBorders>
            <w:top w:val="double" w:sz="4" w:space="0" w:color="auto"/>
            <w:right w:val="single" w:sz="4" w:space="0" w:color="auto"/>
          </w:tcBorders>
          <w:vAlign w:val="center"/>
        </w:tcPr>
        <w:p w14:paraId="1552F81B" w14:textId="77777777" w:rsidR="001D1BEC" w:rsidRDefault="001D1BEC" w:rsidP="00836606">
          <w:pPr>
            <w:jc w:val="center"/>
          </w:pPr>
          <w:r>
            <w:rPr>
              <w:rFonts w:hint="eastAsia"/>
            </w:rPr>
            <w:t>版次</w:t>
          </w:r>
        </w:p>
      </w:tc>
      <w:tc>
        <w:tcPr>
          <w:tcW w:w="1561" w:type="dxa"/>
          <w:tcBorders>
            <w:top w:val="double" w:sz="4" w:space="0" w:color="auto"/>
            <w:left w:val="single" w:sz="4" w:space="0" w:color="auto"/>
            <w:right w:val="double" w:sz="4" w:space="0" w:color="auto"/>
          </w:tcBorders>
          <w:vAlign w:val="center"/>
        </w:tcPr>
        <w:p w14:paraId="2B04EFCA" w14:textId="0EE625BB" w:rsidR="001D1BEC" w:rsidRDefault="002871D0" w:rsidP="00836606">
          <w:pPr>
            <w:jc w:val="center"/>
          </w:pPr>
          <w:r>
            <w:rPr>
              <w:rFonts w:hint="eastAsia"/>
            </w:rPr>
            <w:t>2.0</w:t>
          </w:r>
        </w:p>
      </w:tc>
    </w:tr>
    <w:tr w:rsidR="001D1BEC" w14:paraId="5FC64939" w14:textId="77777777" w:rsidTr="00836606">
      <w:trPr>
        <w:trHeight w:val="382"/>
      </w:trPr>
      <w:tc>
        <w:tcPr>
          <w:tcW w:w="1560" w:type="dxa"/>
          <w:tcBorders>
            <w:left w:val="double" w:sz="4" w:space="0" w:color="auto"/>
            <w:bottom w:val="double" w:sz="4" w:space="0" w:color="auto"/>
          </w:tcBorders>
          <w:vAlign w:val="center"/>
        </w:tcPr>
        <w:p w14:paraId="17FABC71" w14:textId="77777777" w:rsidR="001D1BEC" w:rsidRDefault="001D1BEC" w:rsidP="00836606">
          <w:pPr>
            <w:jc w:val="center"/>
          </w:pPr>
          <w:r>
            <w:rPr>
              <w:rFonts w:hint="eastAsia"/>
            </w:rPr>
            <w:t>核准</w:t>
          </w:r>
        </w:p>
      </w:tc>
      <w:tc>
        <w:tcPr>
          <w:tcW w:w="1561" w:type="dxa"/>
          <w:tcBorders>
            <w:bottom w:val="double" w:sz="4" w:space="0" w:color="auto"/>
          </w:tcBorders>
          <w:vAlign w:val="center"/>
        </w:tcPr>
        <w:p w14:paraId="091BEA56" w14:textId="77777777" w:rsidR="001D1BEC" w:rsidRDefault="001D1BEC" w:rsidP="00836606">
          <w:pPr>
            <w:jc w:val="center"/>
          </w:pPr>
          <w:r>
            <w:rPr>
              <w:rFonts w:hint="eastAsia"/>
            </w:rPr>
            <w:t>陳燕麟</w:t>
          </w:r>
        </w:p>
      </w:tc>
      <w:tc>
        <w:tcPr>
          <w:tcW w:w="1561" w:type="dxa"/>
          <w:gridSpan w:val="2"/>
          <w:tcBorders>
            <w:bottom w:val="double" w:sz="4" w:space="0" w:color="auto"/>
          </w:tcBorders>
          <w:vAlign w:val="center"/>
        </w:tcPr>
        <w:p w14:paraId="0EF989F6" w14:textId="77777777" w:rsidR="001D1BEC" w:rsidRDefault="001D1BEC" w:rsidP="00836606">
          <w:pPr>
            <w:jc w:val="center"/>
          </w:pPr>
          <w:r>
            <w:rPr>
              <w:rFonts w:hint="eastAsia"/>
            </w:rPr>
            <w:t>制</w:t>
          </w:r>
          <w:r>
            <w:rPr>
              <w:rFonts w:hint="eastAsia"/>
            </w:rPr>
            <w:t>(</w:t>
          </w:r>
          <w:r>
            <w:rPr>
              <w:rFonts w:hint="eastAsia"/>
            </w:rPr>
            <w:t>修</w:t>
          </w:r>
          <w:r>
            <w:rPr>
              <w:rFonts w:hint="eastAsia"/>
            </w:rPr>
            <w:t>)</w:t>
          </w:r>
          <w:r>
            <w:rPr>
              <w:rFonts w:hint="eastAsia"/>
            </w:rPr>
            <w:t>訂</w:t>
          </w:r>
        </w:p>
      </w:tc>
      <w:tc>
        <w:tcPr>
          <w:tcW w:w="1561" w:type="dxa"/>
          <w:gridSpan w:val="2"/>
          <w:tcBorders>
            <w:bottom w:val="double" w:sz="4" w:space="0" w:color="auto"/>
          </w:tcBorders>
          <w:vAlign w:val="center"/>
        </w:tcPr>
        <w:p w14:paraId="162E55FF" w14:textId="5501FF23" w:rsidR="001D1BEC" w:rsidRDefault="002871D0" w:rsidP="00836606">
          <w:pPr>
            <w:jc w:val="center"/>
          </w:pPr>
          <w:r>
            <w:rPr>
              <w:rFonts w:hint="eastAsia"/>
            </w:rPr>
            <w:t>許曉芬</w:t>
          </w:r>
        </w:p>
      </w:tc>
      <w:tc>
        <w:tcPr>
          <w:tcW w:w="1561" w:type="dxa"/>
          <w:tcBorders>
            <w:bottom w:val="double" w:sz="4" w:space="0" w:color="auto"/>
            <w:right w:val="single" w:sz="4" w:space="0" w:color="auto"/>
          </w:tcBorders>
          <w:vAlign w:val="center"/>
        </w:tcPr>
        <w:p w14:paraId="0AA5D0E3" w14:textId="77777777" w:rsidR="001D1BEC" w:rsidRDefault="001D1BEC" w:rsidP="00836606">
          <w:pPr>
            <w:jc w:val="center"/>
          </w:pPr>
          <w:r>
            <w:rPr>
              <w:rFonts w:hint="eastAsia"/>
            </w:rPr>
            <w:t>頁數</w:t>
          </w:r>
          <w:r>
            <w:rPr>
              <w:rFonts w:hint="eastAsia"/>
            </w:rPr>
            <w:t>/</w:t>
          </w:r>
          <w:r>
            <w:rPr>
              <w:rFonts w:hint="eastAsia"/>
            </w:rPr>
            <w:t>總頁數</w:t>
          </w:r>
        </w:p>
      </w:tc>
      <w:tc>
        <w:tcPr>
          <w:tcW w:w="1561" w:type="dxa"/>
          <w:tcBorders>
            <w:left w:val="single" w:sz="4" w:space="0" w:color="auto"/>
            <w:bottom w:val="double" w:sz="4" w:space="0" w:color="auto"/>
            <w:right w:val="double" w:sz="4" w:space="0" w:color="auto"/>
          </w:tcBorders>
          <w:vAlign w:val="center"/>
        </w:tcPr>
        <w:p w14:paraId="164B3F40" w14:textId="77777777" w:rsidR="001D1BEC" w:rsidRDefault="001D1BEC" w:rsidP="00836606">
          <w:pPr>
            <w:jc w:val="center"/>
          </w:pPr>
          <w:r>
            <w:fldChar w:fldCharType="begin"/>
          </w:r>
          <w:r>
            <w:instrText>PAGE   \* MERGEFORMAT</w:instrText>
          </w:r>
          <w:r>
            <w:fldChar w:fldCharType="separate"/>
          </w:r>
          <w:r w:rsidRPr="00AF2EF3">
            <w:rPr>
              <w:noProof/>
              <w:lang w:val="zh-TW"/>
            </w:rPr>
            <w:t>2</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Pr>
              <w:noProof/>
            </w:rPr>
            <w:t>2</w:t>
          </w:r>
          <w:r>
            <w:rPr>
              <w:noProof/>
            </w:rPr>
            <w:fldChar w:fldCharType="end"/>
          </w:r>
        </w:p>
      </w:tc>
    </w:tr>
  </w:tbl>
  <w:p w14:paraId="54F3FAC7" w14:textId="77777777" w:rsidR="001D1BEC" w:rsidRDefault="001D1BE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832C7"/>
    <w:multiLevelType w:val="multilevel"/>
    <w:tmpl w:val="B738977E"/>
    <w:lvl w:ilvl="0">
      <w:start w:val="1"/>
      <w:numFmt w:val="taiwaneseCountingThousand"/>
      <w:lvlText w:val="%1、"/>
      <w:lvlJc w:val="left"/>
      <w:pPr>
        <w:ind w:left="1021" w:hanging="1021"/>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DF6C49"/>
    <w:multiLevelType w:val="multilevel"/>
    <w:tmpl w:val="902A2106"/>
    <w:lvl w:ilvl="0">
      <w:start w:val="1"/>
      <w:numFmt w:val="decimal"/>
      <w:lvlText w:val="%1"/>
      <w:lvlJc w:val="left"/>
      <w:pPr>
        <w:ind w:left="425" w:hanging="425"/>
      </w:pPr>
      <w:rPr>
        <w:rFonts w:ascii="Times New Roman" w:hAnsi="Times New Roman" w:hint="default"/>
      </w:rPr>
    </w:lvl>
    <w:lvl w:ilvl="1">
      <w:start w:val="1"/>
      <w:numFmt w:val="decimal"/>
      <w:lvlText w:val="%1.%2"/>
      <w:lvlJc w:val="left"/>
      <w:pPr>
        <w:tabs>
          <w:tab w:val="num" w:pos="992"/>
        </w:tabs>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hint="default"/>
      </w:rPr>
    </w:lvl>
    <w:lvl w:ilvl="3">
      <w:start w:val="1"/>
      <w:numFmt w:val="decimal"/>
      <w:lvlText w:val="%1.%2.%3.%4"/>
      <w:lvlJc w:val="left"/>
      <w:pPr>
        <w:ind w:left="1984" w:hanging="708"/>
      </w:pPr>
      <w:rPr>
        <w:rFonts w:ascii="Times New Roman" w:hAnsi="Times New Roman" w:hint="default"/>
      </w:rPr>
    </w:lvl>
    <w:lvl w:ilvl="4">
      <w:start w:val="1"/>
      <w:numFmt w:val="lowerLetter"/>
      <w:lvlText w:val="%5"/>
      <w:lvlJc w:val="left"/>
      <w:pPr>
        <w:ind w:left="2551" w:hanging="850"/>
      </w:pPr>
      <w:rPr>
        <w:rFonts w:ascii="Times New Roman" w:hAnsi="Times New Roman"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A460174"/>
    <w:multiLevelType w:val="multilevel"/>
    <w:tmpl w:val="0F30EE8C"/>
    <w:lvl w:ilvl="0">
      <w:start w:val="1"/>
      <w:numFmt w:val="decimal"/>
      <w:lvlText w:val="%1."/>
      <w:lvlJc w:val="left"/>
      <w:pPr>
        <w:tabs>
          <w:tab w:val="num" w:pos="964"/>
        </w:tabs>
        <w:ind w:left="964" w:hanging="680"/>
      </w:pPr>
      <w:rPr>
        <w:rFonts w:hint="eastAsia"/>
      </w:rPr>
    </w:lvl>
    <w:lvl w:ilvl="1">
      <w:start w:val="1"/>
      <w:numFmt w:val="decimal"/>
      <w:lvlText w:val="%1.%2"/>
      <w:lvlJc w:val="left"/>
      <w:pPr>
        <w:tabs>
          <w:tab w:val="num" w:pos="1276"/>
        </w:tabs>
        <w:ind w:left="1276" w:hanging="851"/>
      </w:pPr>
      <w:rPr>
        <w:rFonts w:hint="eastAsia"/>
      </w:rPr>
    </w:lvl>
    <w:lvl w:ilvl="2">
      <w:start w:val="1"/>
      <w:numFmt w:val="decimal"/>
      <w:lvlText w:val="%1.%2.%3"/>
      <w:lvlJc w:val="left"/>
      <w:pPr>
        <w:tabs>
          <w:tab w:val="num" w:pos="1758"/>
        </w:tabs>
        <w:ind w:left="1758" w:hanging="1021"/>
      </w:pPr>
      <w:rPr>
        <w:rFonts w:hint="eastAsia"/>
      </w:rPr>
    </w:lvl>
    <w:lvl w:ilvl="3">
      <w:start w:val="1"/>
      <w:numFmt w:val="decimal"/>
      <w:lvlText w:val="%1.%2.%3.%4"/>
      <w:lvlJc w:val="left"/>
      <w:pPr>
        <w:tabs>
          <w:tab w:val="num" w:pos="2495"/>
        </w:tabs>
        <w:ind w:left="2495" w:hanging="1248"/>
      </w:pPr>
      <w:rPr>
        <w:rFonts w:hint="eastAsia"/>
      </w:rPr>
    </w:lvl>
    <w:lvl w:ilvl="4">
      <w:start w:val="1"/>
      <w:numFmt w:val="decimal"/>
      <w:lvlText w:val="%1.%2.%3.%4.%5"/>
      <w:lvlJc w:val="left"/>
      <w:pPr>
        <w:tabs>
          <w:tab w:val="num" w:pos="3402"/>
        </w:tabs>
        <w:ind w:left="3402" w:hanging="1417"/>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46A32F7D"/>
    <w:multiLevelType w:val="multilevel"/>
    <w:tmpl w:val="30BE6FDC"/>
    <w:lvl w:ilvl="0">
      <w:start w:val="1"/>
      <w:numFmt w:val="decimal"/>
      <w:lvlText w:val="%1"/>
      <w:lvlJc w:val="left"/>
      <w:pPr>
        <w:ind w:left="425" w:hanging="425"/>
      </w:pPr>
      <w:rPr>
        <w:rFonts w:ascii="Times New Roman" w:hAnsi="Times New Roman" w:hint="default"/>
      </w:rPr>
    </w:lvl>
    <w:lvl w:ilvl="1">
      <w:start w:val="1"/>
      <w:numFmt w:val="decimal"/>
      <w:lvlText w:val="%1.%2"/>
      <w:lvlJc w:val="left"/>
      <w:pPr>
        <w:tabs>
          <w:tab w:val="num" w:pos="992"/>
        </w:tabs>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hint="default"/>
      </w:rPr>
    </w:lvl>
    <w:lvl w:ilvl="3">
      <w:start w:val="1"/>
      <w:numFmt w:val="decimal"/>
      <w:lvlText w:val="%1.%2.%3.%4"/>
      <w:lvlJc w:val="left"/>
      <w:pPr>
        <w:ind w:left="1984" w:hanging="708"/>
      </w:pPr>
      <w:rPr>
        <w:rFonts w:ascii="Times New Roman" w:hAnsi="Times New Roman" w:hint="default"/>
      </w:rPr>
    </w:lvl>
    <w:lvl w:ilvl="4">
      <w:start w:val="1"/>
      <w:numFmt w:val="lowerLetter"/>
      <w:lvlText w:val="%5"/>
      <w:lvlJc w:val="left"/>
      <w:pPr>
        <w:ind w:left="2551" w:hanging="850"/>
      </w:pPr>
      <w:rPr>
        <w:rFonts w:ascii="Times New Roman" w:hAnsi="Times New Roman"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8F21F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57661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84236AD"/>
    <w:multiLevelType w:val="multilevel"/>
    <w:tmpl w:val="F0A0BDC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31" w:hanging="680"/>
      </w:pPr>
      <w:rPr>
        <w:rFonts w:hint="eastAsia"/>
      </w:rPr>
    </w:lvl>
    <w:lvl w:ilvl="3">
      <w:start w:val="1"/>
      <w:numFmt w:val="decimal"/>
      <w:lvlText w:val="%1.%2.%3.%4"/>
      <w:lvlJc w:val="left"/>
      <w:pPr>
        <w:ind w:left="1985" w:hanging="851"/>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ED62814"/>
    <w:multiLevelType w:val="multilevel"/>
    <w:tmpl w:val="489277D8"/>
    <w:lvl w:ilvl="0">
      <w:start w:val="1"/>
      <w:numFmt w:val="decimal"/>
      <w:lvlText w:val="%1"/>
      <w:lvlJc w:val="left"/>
      <w:pPr>
        <w:ind w:left="425" w:hanging="425"/>
      </w:pPr>
      <w:rPr>
        <w:rFonts w:ascii="Times New Roman" w:hAnsi="Times New Roman" w:hint="default"/>
        <w:b w:val="0"/>
      </w:rPr>
    </w:lvl>
    <w:lvl w:ilvl="1">
      <w:start w:val="1"/>
      <w:numFmt w:val="decimal"/>
      <w:lvlText w:val="%1.%2"/>
      <w:lvlJc w:val="left"/>
      <w:pPr>
        <w:tabs>
          <w:tab w:val="num" w:pos="992"/>
        </w:tabs>
        <w:ind w:left="992" w:hanging="567"/>
      </w:pPr>
      <w:rPr>
        <w:rFonts w:ascii="Times New Roman" w:hAnsi="Times New Roman" w:cs="Times New Roman" w:hint="default"/>
        <w:b w:val="0"/>
      </w:rPr>
    </w:lvl>
    <w:lvl w:ilvl="2">
      <w:start w:val="1"/>
      <w:numFmt w:val="decimal"/>
      <w:lvlText w:val="%1.%2.%3"/>
      <w:lvlJc w:val="left"/>
      <w:pPr>
        <w:tabs>
          <w:tab w:val="num" w:pos="1418"/>
        </w:tabs>
        <w:ind w:left="1418" w:hanging="567"/>
      </w:pPr>
      <w:rPr>
        <w:rFonts w:ascii="Times New Roman" w:hAnsi="Times New Roman" w:hint="default"/>
        <w:b w:val="0"/>
      </w:rPr>
    </w:lvl>
    <w:lvl w:ilvl="3">
      <w:start w:val="1"/>
      <w:numFmt w:val="decimal"/>
      <w:lvlText w:val="%1.%2.%3.%4"/>
      <w:lvlJc w:val="left"/>
      <w:pPr>
        <w:tabs>
          <w:tab w:val="num" w:pos="2098"/>
        </w:tabs>
        <w:ind w:left="2098" w:hanging="822"/>
      </w:pPr>
      <w:rPr>
        <w:rFonts w:ascii="Times New Roman" w:hAnsi="Times New Roman" w:hint="default"/>
      </w:rPr>
    </w:lvl>
    <w:lvl w:ilvl="4">
      <w:start w:val="1"/>
      <w:numFmt w:val="lowerLetter"/>
      <w:lvlText w:val="%5"/>
      <w:lvlJc w:val="left"/>
      <w:pPr>
        <w:tabs>
          <w:tab w:val="num" w:pos="2098"/>
        </w:tabs>
        <w:ind w:left="2098" w:hanging="397"/>
      </w:pPr>
      <w:rPr>
        <w:rFonts w:ascii="Times New Roman" w:hAnsi="Times New Roman"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06"/>
    <w:rsid w:val="000052F3"/>
    <w:rsid w:val="000237C2"/>
    <w:rsid w:val="00035E17"/>
    <w:rsid w:val="0005266D"/>
    <w:rsid w:val="00071D4A"/>
    <w:rsid w:val="000A4A20"/>
    <w:rsid w:val="000B0FCF"/>
    <w:rsid w:val="000B3A77"/>
    <w:rsid w:val="000B7C6E"/>
    <w:rsid w:val="000C7DEB"/>
    <w:rsid w:val="000D19FD"/>
    <w:rsid w:val="00100729"/>
    <w:rsid w:val="001122E9"/>
    <w:rsid w:val="0011661F"/>
    <w:rsid w:val="00146E7D"/>
    <w:rsid w:val="00152250"/>
    <w:rsid w:val="00173B73"/>
    <w:rsid w:val="00191F66"/>
    <w:rsid w:val="00193E86"/>
    <w:rsid w:val="001C50E3"/>
    <w:rsid w:val="001C79D6"/>
    <w:rsid w:val="001D1BEC"/>
    <w:rsid w:val="001E22E4"/>
    <w:rsid w:val="00202DD6"/>
    <w:rsid w:val="00205B61"/>
    <w:rsid w:val="0024093A"/>
    <w:rsid w:val="00274883"/>
    <w:rsid w:val="00281F6A"/>
    <w:rsid w:val="002871D0"/>
    <w:rsid w:val="00292141"/>
    <w:rsid w:val="002955C5"/>
    <w:rsid w:val="002C490A"/>
    <w:rsid w:val="002C49FE"/>
    <w:rsid w:val="002C6C69"/>
    <w:rsid w:val="002C718B"/>
    <w:rsid w:val="002D17BD"/>
    <w:rsid w:val="002F40B9"/>
    <w:rsid w:val="00314DCB"/>
    <w:rsid w:val="00373444"/>
    <w:rsid w:val="00374118"/>
    <w:rsid w:val="00391FB6"/>
    <w:rsid w:val="00392426"/>
    <w:rsid w:val="003B1E43"/>
    <w:rsid w:val="003B51AD"/>
    <w:rsid w:val="003F13A3"/>
    <w:rsid w:val="004016EB"/>
    <w:rsid w:val="00401C1E"/>
    <w:rsid w:val="00440724"/>
    <w:rsid w:val="0044656D"/>
    <w:rsid w:val="00463BB0"/>
    <w:rsid w:val="00466BCE"/>
    <w:rsid w:val="00470A61"/>
    <w:rsid w:val="004A2660"/>
    <w:rsid w:val="004C572B"/>
    <w:rsid w:val="004D2874"/>
    <w:rsid w:val="004D2A8D"/>
    <w:rsid w:val="004D7CAF"/>
    <w:rsid w:val="004E4706"/>
    <w:rsid w:val="004F5F26"/>
    <w:rsid w:val="00535248"/>
    <w:rsid w:val="005508A1"/>
    <w:rsid w:val="00561941"/>
    <w:rsid w:val="005743BF"/>
    <w:rsid w:val="00583591"/>
    <w:rsid w:val="00585698"/>
    <w:rsid w:val="00597D45"/>
    <w:rsid w:val="00626051"/>
    <w:rsid w:val="00632321"/>
    <w:rsid w:val="0063766C"/>
    <w:rsid w:val="0064313B"/>
    <w:rsid w:val="00646991"/>
    <w:rsid w:val="00671BD9"/>
    <w:rsid w:val="007148D8"/>
    <w:rsid w:val="0071587B"/>
    <w:rsid w:val="00751AA0"/>
    <w:rsid w:val="007713EE"/>
    <w:rsid w:val="007822D4"/>
    <w:rsid w:val="007A0A08"/>
    <w:rsid w:val="007A44A0"/>
    <w:rsid w:val="007B5FD3"/>
    <w:rsid w:val="007B6728"/>
    <w:rsid w:val="007C1AFC"/>
    <w:rsid w:val="007D2A35"/>
    <w:rsid w:val="007D77D3"/>
    <w:rsid w:val="007F49F9"/>
    <w:rsid w:val="00801D6B"/>
    <w:rsid w:val="00836606"/>
    <w:rsid w:val="00836C05"/>
    <w:rsid w:val="00845AC2"/>
    <w:rsid w:val="008611BD"/>
    <w:rsid w:val="00876606"/>
    <w:rsid w:val="008B37BC"/>
    <w:rsid w:val="008E69BE"/>
    <w:rsid w:val="008F4BC3"/>
    <w:rsid w:val="008F5FAC"/>
    <w:rsid w:val="0095685C"/>
    <w:rsid w:val="00971767"/>
    <w:rsid w:val="00972A81"/>
    <w:rsid w:val="0097305B"/>
    <w:rsid w:val="009943B3"/>
    <w:rsid w:val="009A1D51"/>
    <w:rsid w:val="009C174D"/>
    <w:rsid w:val="009F22D4"/>
    <w:rsid w:val="00A10853"/>
    <w:rsid w:val="00A2508F"/>
    <w:rsid w:val="00A54E56"/>
    <w:rsid w:val="00A62CA2"/>
    <w:rsid w:val="00A76B70"/>
    <w:rsid w:val="00AB6327"/>
    <w:rsid w:val="00AC7786"/>
    <w:rsid w:val="00AE099B"/>
    <w:rsid w:val="00AF2EF3"/>
    <w:rsid w:val="00B5779F"/>
    <w:rsid w:val="00B67938"/>
    <w:rsid w:val="00B9108E"/>
    <w:rsid w:val="00B931E9"/>
    <w:rsid w:val="00B963CE"/>
    <w:rsid w:val="00BA4A2C"/>
    <w:rsid w:val="00BE5980"/>
    <w:rsid w:val="00BF248E"/>
    <w:rsid w:val="00BF6BBC"/>
    <w:rsid w:val="00C01279"/>
    <w:rsid w:val="00C06C38"/>
    <w:rsid w:val="00C1475A"/>
    <w:rsid w:val="00C1495B"/>
    <w:rsid w:val="00C23FB5"/>
    <w:rsid w:val="00C40D27"/>
    <w:rsid w:val="00C65B78"/>
    <w:rsid w:val="00CC37FF"/>
    <w:rsid w:val="00D2445B"/>
    <w:rsid w:val="00D34FE4"/>
    <w:rsid w:val="00D64DC3"/>
    <w:rsid w:val="00D82C8E"/>
    <w:rsid w:val="00D91A69"/>
    <w:rsid w:val="00DB3CB0"/>
    <w:rsid w:val="00DF78AA"/>
    <w:rsid w:val="00E05103"/>
    <w:rsid w:val="00E83CD2"/>
    <w:rsid w:val="00EB126B"/>
    <w:rsid w:val="00ED6425"/>
    <w:rsid w:val="00EF28B2"/>
    <w:rsid w:val="00F05736"/>
    <w:rsid w:val="00F30406"/>
    <w:rsid w:val="00F43E97"/>
    <w:rsid w:val="00F47BC2"/>
    <w:rsid w:val="00F57937"/>
    <w:rsid w:val="00F64D85"/>
    <w:rsid w:val="00F72AFB"/>
    <w:rsid w:val="00F933A1"/>
    <w:rsid w:val="00FA7D73"/>
    <w:rsid w:val="00FC703A"/>
    <w:rsid w:val="00FC79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A2A6D"/>
  <w15:docId w15:val="{63E0D131-1D1C-4017-AA40-A0AB2282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6606"/>
    <w:pPr>
      <w:tabs>
        <w:tab w:val="center" w:pos="4153"/>
        <w:tab w:val="right" w:pos="8306"/>
      </w:tabs>
      <w:snapToGrid w:val="0"/>
    </w:pPr>
    <w:rPr>
      <w:sz w:val="20"/>
      <w:szCs w:val="20"/>
    </w:rPr>
  </w:style>
  <w:style w:type="character" w:customStyle="1" w:styleId="a4">
    <w:name w:val="頁首 字元"/>
    <w:basedOn w:val="a0"/>
    <w:link w:val="a3"/>
    <w:uiPriority w:val="99"/>
    <w:rsid w:val="00836606"/>
    <w:rPr>
      <w:sz w:val="20"/>
      <w:szCs w:val="20"/>
    </w:rPr>
  </w:style>
  <w:style w:type="paragraph" w:styleId="a5">
    <w:name w:val="footer"/>
    <w:basedOn w:val="a"/>
    <w:link w:val="a6"/>
    <w:unhideWhenUsed/>
    <w:rsid w:val="00836606"/>
    <w:pPr>
      <w:tabs>
        <w:tab w:val="center" w:pos="4153"/>
        <w:tab w:val="right" w:pos="8306"/>
      </w:tabs>
      <w:snapToGrid w:val="0"/>
    </w:pPr>
    <w:rPr>
      <w:sz w:val="20"/>
      <w:szCs w:val="20"/>
    </w:rPr>
  </w:style>
  <w:style w:type="character" w:customStyle="1" w:styleId="a6">
    <w:name w:val="頁尾 字元"/>
    <w:basedOn w:val="a0"/>
    <w:link w:val="a5"/>
    <w:uiPriority w:val="99"/>
    <w:rsid w:val="00836606"/>
    <w:rPr>
      <w:sz w:val="20"/>
      <w:szCs w:val="20"/>
    </w:rPr>
  </w:style>
  <w:style w:type="table" w:styleId="a7">
    <w:name w:val="Table Grid"/>
    <w:basedOn w:val="a1"/>
    <w:uiPriority w:val="59"/>
    <w:rsid w:val="00836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83660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36606"/>
    <w:rPr>
      <w:rFonts w:asciiTheme="majorHAnsi" w:eastAsiaTheme="majorEastAsia" w:hAnsiTheme="majorHAnsi" w:cstheme="majorBidi"/>
      <w:sz w:val="18"/>
      <w:szCs w:val="18"/>
    </w:rPr>
  </w:style>
  <w:style w:type="paragraph" w:styleId="aa">
    <w:name w:val="List Paragraph"/>
    <w:basedOn w:val="a"/>
    <w:uiPriority w:val="34"/>
    <w:qFormat/>
    <w:rsid w:val="00836606"/>
    <w:pPr>
      <w:ind w:leftChars="200" w:left="480"/>
    </w:pPr>
  </w:style>
  <w:style w:type="paragraph" w:customStyle="1" w:styleId="-1">
    <w:name w:val="內文-標1"/>
    <w:rsid w:val="00971767"/>
    <w:pPr>
      <w:widowControl w:val="0"/>
      <w:spacing w:line="360" w:lineRule="atLeast"/>
      <w:ind w:left="284"/>
    </w:pPr>
    <w:rPr>
      <w:rFonts w:ascii="Times New Roman" w:eastAsia="標楷體" w:hAnsi="Times New Roman" w:cs="Times New Roman"/>
      <w:noProof/>
      <w:kern w:val="0"/>
      <w:szCs w:val="20"/>
    </w:rPr>
  </w:style>
  <w:style w:type="character" w:styleId="ab">
    <w:name w:val="annotation reference"/>
    <w:basedOn w:val="a0"/>
    <w:uiPriority w:val="99"/>
    <w:semiHidden/>
    <w:unhideWhenUsed/>
    <w:rsid w:val="00152250"/>
    <w:rPr>
      <w:sz w:val="18"/>
      <w:szCs w:val="18"/>
    </w:rPr>
  </w:style>
  <w:style w:type="paragraph" w:styleId="ac">
    <w:name w:val="annotation text"/>
    <w:basedOn w:val="a"/>
    <w:link w:val="ad"/>
    <w:uiPriority w:val="99"/>
    <w:semiHidden/>
    <w:unhideWhenUsed/>
    <w:rsid w:val="00152250"/>
  </w:style>
  <w:style w:type="character" w:customStyle="1" w:styleId="ad">
    <w:name w:val="註解文字 字元"/>
    <w:basedOn w:val="a0"/>
    <w:link w:val="ac"/>
    <w:uiPriority w:val="99"/>
    <w:semiHidden/>
    <w:rsid w:val="00152250"/>
  </w:style>
  <w:style w:type="paragraph" w:styleId="ae">
    <w:name w:val="annotation subject"/>
    <w:basedOn w:val="ac"/>
    <w:next w:val="ac"/>
    <w:link w:val="af"/>
    <w:uiPriority w:val="99"/>
    <w:semiHidden/>
    <w:unhideWhenUsed/>
    <w:rsid w:val="00152250"/>
    <w:rPr>
      <w:b/>
      <w:bCs/>
    </w:rPr>
  </w:style>
  <w:style w:type="character" w:customStyle="1" w:styleId="af">
    <w:name w:val="註解主旨 字元"/>
    <w:basedOn w:val="ad"/>
    <w:link w:val="ae"/>
    <w:uiPriority w:val="99"/>
    <w:semiHidden/>
    <w:rsid w:val="00152250"/>
    <w:rPr>
      <w:b/>
      <w:bCs/>
    </w:rPr>
  </w:style>
  <w:style w:type="character" w:styleId="af0">
    <w:name w:val="Placeholder Text"/>
    <w:basedOn w:val="a0"/>
    <w:uiPriority w:val="99"/>
    <w:semiHidden/>
    <w:rsid w:val="004D28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EFF46-BFFC-483E-B03B-DCE58E23A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AnthonyWork</dc:creator>
  <cp:lastModifiedBy>Anthony Chen</cp:lastModifiedBy>
  <cp:revision>4</cp:revision>
  <cp:lastPrinted>2019-10-08T02:48:00Z</cp:lastPrinted>
  <dcterms:created xsi:type="dcterms:W3CDTF">2019-10-08T02:47:00Z</dcterms:created>
  <dcterms:modified xsi:type="dcterms:W3CDTF">2019-10-08T02:48:00Z</dcterms:modified>
</cp:coreProperties>
</file>