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>
      <w:pPr>
        <w:pStyle w:val="SHText"/>
      </w:pP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 &amp; Certificates &amp; Licenses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p>
      <w:r>
        <w:br w:type="page"/>
      </w:r>
    </w:p>
    <w:p>
      <w:pPr>
        <w:pStyle w:val="SHText"/>
      </w:pPr>
      <w:r>
        <w:rPr>
          <w:b/>
          <w:i/>
        </w:rPr>
        <w:t>Appendix - Deal list</w:t>
      </w:r>
    </w:p>
    <w:p>
      <w:pPr>
        <w:pStyle w:val="SHBullets"/>
      </w:pPr>
      <w:r>
        <w:t>20+ years of investment banking experience focusing on cross-border M&amp;A</w:t>
      </w:r>
    </w:p>
    <w:p>
      <w:pPr>
        <w:pStyle w:val="SHBullets"/>
      </w:pPr>
      <w:r>
        <w:t>Recent transactions (since 2010) include: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0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438"/>
          </w:tcPr>
          <w:p>
            <w:r>
              <w:rPr>
                <w:b/>
              </w:rPr>
              <w:t>Transaction</w:t>
            </w:r>
          </w:p>
        </w:tc>
        <w:tc>
          <w:tcPr>
            <w:tcW w:type="dxa" w:w="1644"/>
          </w:tcPr>
          <w:p>
            <w:r>
              <w:rPr>
                <w:b/>
              </w:rPr>
              <w:t>Type</w:t>
            </w:r>
          </w:p>
        </w:tc>
        <w:tc>
          <w:tcPr>
            <w:tcW w:type="dxa" w:w="5499"/>
          </w:tcPr>
          <w:p>
            <w:r>
              <w:rPr>
                <w:b/>
              </w:rPr>
              <w:t>Responsibilities</w:t>
            </w:r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  <w:tr>
        <w:tc>
          <w:tcPr>
            <w:tcW w:type="dxa" w:w="1020"/>
          </w:tcPr>
          <w:p>
            <w:r/>
          </w:p>
        </w:tc>
        <w:tc>
          <w:tcPr>
            <w:tcW w:type="dxa" w:w="2438"/>
          </w:tcPr>
          <w:p>
            <w:r/>
          </w:p>
        </w:tc>
        <w:tc>
          <w:tcPr>
            <w:tcW w:type="dxa" w:w="1644"/>
          </w:tcPr>
          <w:p>
            <w:r/>
          </w:p>
        </w:tc>
        <w:tc>
          <w:tcPr>
            <w:tcW w:type="dxa" w:w="5499"/>
          </w:tcPr>
          <w:p>
            <w:r/>
          </w:p>
        </w:tc>
      </w:tr>
    </w:tbl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