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center"/>
      </w:pPr>
      <w:r>
        <w:rPr>
          <w:b/>
        </w:rPr>
        <w:t>Wings4U PRD v2.9</w:t>
      </w:r>
    </w:p>
    <w:p>
      <w:pPr>
        <w:jc w:val="center"/>
      </w:pPr>
      <w:r>
        <w:rPr>
          <w:rFonts w:ascii="Aptos" w:hAnsi="Aptos"/>
          <w:color w:val="555555"/>
          <w:sz w:val="22"/>
        </w:rPr>
        <w:t>Remaining non-schema flaws, why they matter, and what should replace them</w:t>
      </w:r>
    </w:p>
    <w:p/>
    <w:tbl>
      <w:tblPr>
        <w:tblW w:type="auto" w:w="0"/>
        <w:jc w:val="center"/>
        <w:tblLayout w:type="fixed"/>
        <w:tblLook w:firstColumn="1" w:firstRow="1" w:lastColumn="0" w:lastRow="0" w:noHBand="0" w:noVBand="1" w:val="04A0"/>
      </w:tblPr>
      <w:tblGrid>
        <w:gridCol w:w="9504"/>
      </w:tblGrid>
      <w:tr>
        <w:tc>
          <w:tcPr>
            <w:tcW w:type="dxa" w:w="9504"/>
            <w:vAlign w:val="center"/>
            <w:shd w:fill="EAF2F8"/>
          </w:tcPr>
          <w:p>
            <w:pPr>
              <w:pStyle w:val="BodyCustom"/>
            </w:pPr>
            <w:r>
              <w:rPr>
                <w:b w:val="0"/>
                <w:sz w:val="21"/>
              </w:rPr>
              <w:t>Scope of this review: features, workflows, permissions, architecture, operational behavior, and business rules only. Schema issues were intentionally ignored for this document.</w:t>
            </w:r>
          </w:p>
        </w:tc>
      </w:tr>
    </w:tbl>
    <w:p/>
    <w:p>
      <w:pPr>
        <w:pStyle w:val="Heading1Custom"/>
      </w:pPr>
      <w:r>
        <w:t>1. Driver-only accounts still exist conceptually while MVP operations are built around employee/timeclock drivers</w:t>
      </w:r>
    </w:p>
    <w:p>
      <w:pPr>
        <w:pStyle w:val="BodyCustom"/>
      </w:pPr>
      <w:r>
        <w:rPr>
          <w:b/>
        </w:rPr>
        <w:t xml:space="preserve">Problem: </w:t>
      </w:r>
      <w:r>
        <w:t>The PRD keeps both ideas alive at once: future driver-only accounts and MVP assignable drivers who must behave like employee/timeclock users. That makes the product language feel broader than the actual MVP operating model.</w:t>
      </w:r>
    </w:p>
    <w:p>
      <w:pPr>
        <w:pStyle w:val="BodyCustom"/>
      </w:pPr>
      <w:r>
        <w:rPr>
          <w:b/>
        </w:rPr>
        <w:t xml:space="preserve">Why it matters: </w:t>
      </w:r>
      <w:r>
        <w:t>This can confuse driver onboarding, admin setup, shift-start behavior, and which people should appear in KDS assignment lists. A team can easily build UI for driver-only users too early even though the real MVP assumes employee-backed drivers.</w:t>
      </w:r>
    </w:p>
    <w:p>
      <w:pPr>
        <w:pStyle w:val="BodyCustom"/>
      </w:pPr>
      <w:r>
        <w:rPr>
          <w:b/>
        </w:rPr>
        <w:t xml:space="preserve">What should be there instead: </w:t>
      </w:r>
      <w:r>
        <w:t>State one hard product rule in plain English: for MVP, every assignable driver must be an employee/timeclock driver. Driver-only accounts are future driver-app accounts and are not operational in MVP.</w:t>
      </w:r>
    </w:p>
    <w:p/>
    <w:p>
      <w:pPr>
        <w:pStyle w:val="Heading1Custom"/>
      </w:pPr>
      <w:r>
        <w:t>2. KDS versus Manager surface is still conceptually blurry</w:t>
      </w:r>
    </w:p>
    <w:p>
      <w:pPr>
        <w:pStyle w:val="BodyCustom"/>
      </w:pPr>
      <w:r>
        <w:t>Problem: The PRD separates kitchen actions from manager-only actions, but it still uses mixed phrases like KDS staff, manager panel view, KDS live order settings, and not from the general KDS kitchen screen. The permissions are mostly right, but the surface model is not perfectly crisp. The clean model should be: Kitchen KDS = kitchen-only operational actions, Manager Operations = exceptions, assignments, bypasses, late cancellations, and add-item approvals, and Admin = catalog, reporting, settings, support, inventory, employees, and audits.</w:t>
      </w:r>
    </w:p>
    <w:p>
      <w:pPr>
        <w:pStyle w:val="BodyCustom"/>
      </w:pPr>
      <w:r>
        <w:rPr>
          <w:b/>
        </w:rPr>
        <w:t xml:space="preserve">Why it matters: </w:t>
      </w:r>
      <w:r>
        <w:t>That ambiguity can make frontend and backend teams disagree about where actions live: one shared KDS with role-based controls, a separate manager console, or KDS plus admin. That is how route boundaries and visibility bugs start.</w:t>
      </w:r>
    </w:p>
    <w:p>
      <w:pPr>
        <w:pStyle w:val="BodyCustom"/>
      </w:pPr>
      <w:r>
        <w:t>What should be there instead: Add one explicit architecture statement and keep it consistent everywhere: either KDS is one operational surface with role-based controls, or Kitchen KDS and Manager Operations are separate surfaces. Then rewrite every workflow sentence to use that exact model so manager actions never sound like general kitchen actions.</w:t>
      </w:r>
    </w:p>
    <w:p/>
    <w:p>
      <w:pPr>
        <w:pStyle w:val="Heading1Custom"/>
      </w:pPr>
      <w:r>
        <w:t>3. Overdue delivery auto-ticketing is smart, but still a little too magical operationally</w:t>
      </w:r>
    </w:p>
    <w:p>
      <w:pPr>
        <w:pStyle w:val="BodyCustom"/>
      </w:pPr>
      <w:r>
        <w:rPr>
          <w:b/>
        </w:rPr>
        <w:t xml:space="preserve">Problem: </w:t>
      </w:r>
      <w:r>
        <w:t>The workflow is well thought out: overdue detection, a reassurance message, an internal support ticket, and auto-resolve if the delivery finishes before review. But it still does a lot automatically and depends on ETA quality, good delivery-start discipline, and a sane grace period.</w:t>
      </w:r>
    </w:p>
    <w:p>
      <w:pPr>
        <w:pStyle w:val="BodyCustom"/>
      </w:pPr>
      <w:r>
        <w:rPr>
          <w:b/>
        </w:rPr>
        <w:t xml:space="preserve">Why it matters: </w:t>
      </w:r>
      <w:r>
        <w:t>If ETA estimates are sloppy or staff forget status updates, the system can create support noise for ordinary late-but-not-problem deliveries. Then the feature stops feeling helpful and starts feeling like false-alarm automation.</w:t>
      </w:r>
    </w:p>
    <w:p>
      <w:pPr>
        <w:pStyle w:val="BodyCustom"/>
      </w:pPr>
      <w:r>
        <w:rPr>
          <w:b/>
        </w:rPr>
        <w:t xml:space="preserve">What should be there instead: </w:t>
      </w:r>
      <w:r>
        <w:t>Keep the feature, but add an operational requirement that owner and staff must tune ETA discipline and grace periods before relying on overdue auto-ticketing. Treat it as a monitored automation, not magic.</w:t>
      </w:r>
    </w:p>
    <w:p/>
    <w:p>
      <w:pPr>
        <w:pStyle w:val="Heading1Custom"/>
      </w:pPr>
      <w:r>
        <w:t>4. Global promos across locations are still a real business-risk feature choice</w:t>
      </w:r>
    </w:p>
    <w:p>
      <w:pPr>
        <w:pStyle w:val="BodyCustom"/>
      </w:pPr>
      <w:r>
        <w:rPr>
          <w:b/>
        </w:rPr>
        <w:t xml:space="preserve">Problem: </w:t>
      </w:r>
      <w:r>
        <w:t>The PRD is honest that promo codes are global at launch and that BXGY behavior can silently no-op when another location has different categories or menu setup.</w:t>
      </w:r>
    </w:p>
    <w:p>
      <w:pPr>
        <w:pStyle w:val="BodyCustom"/>
      </w:pPr>
      <w:r>
        <w:rPr>
          <w:b/>
        </w:rPr>
        <w:t xml:space="preserve">Why it matters: </w:t>
      </w:r>
      <w:r>
        <w:t>This is not just a technical inconvenience. It can cause wrong-store discounts, confusing customer behavior, messy analytics, and staff support headaches as soon as location 2 becomes real.</w:t>
      </w:r>
    </w:p>
    <w:p>
      <w:pPr>
        <w:pStyle w:val="BodyCustom"/>
      </w:pPr>
      <w:r>
        <w:rPr>
          <w:b/>
        </w:rPr>
        <w:t xml:space="preserve">What should be there instead: </w:t>
      </w:r>
      <w:r>
        <w:t>Treat location-scoped promos as a location-2 launch requirement, or write in giant letters that multi-location promo behavior is a deliberate launch limitation until scoping exists.</w:t>
      </w:r>
    </w:p>
    <w:p/>
    <w:p>
      <w:pPr>
        <w:pStyle w:val="Heading1Custom"/>
      </w:pPr>
      <w:r>
        <w:t>5. Tax and totals are still a business-rule dependency, not just a number</w:t>
      </w:r>
    </w:p>
    <w:p>
      <w:pPr>
        <w:pStyle w:val="BodyCustom"/>
      </w:pPr>
      <w:r>
        <w:rPr>
          <w:b/>
        </w:rPr>
        <w:t xml:space="preserve">Problem: </w:t>
      </w:r>
      <w:r>
        <w:t>Even if the restaurant settles on 13% HST, the product still needs one final rule for how totals are calculated: what gets taxed, when tax is applied relative to discounts, how delivery fees are handled, and how POS and online receipts stay identical.</w:t>
      </w:r>
    </w:p>
    <w:p>
      <w:pPr>
        <w:pStyle w:val="BodyCustom"/>
      </w:pPr>
      <w:r>
        <w:rPr>
          <w:b/>
        </w:rPr>
        <w:t xml:space="preserve">Why it matters: </w:t>
      </w:r>
      <w:r>
        <w:t>If this is not frozen at the business-rule level, checkout totals, receipts, refund math, and customer disputes can drift across surfaces even with the same tax rate.</w:t>
      </w:r>
    </w:p>
    <w:p>
      <w:pPr>
        <w:pStyle w:val="BodyCustom"/>
      </w:pPr>
      <w:r>
        <w:rPr>
          <w:b/>
        </w:rPr>
        <w:t xml:space="preserve">What should be there instead: </w:t>
      </w:r>
      <w:r>
        <w:t>After the owner meeting, lock one canonical tax-and-totals policy into the PRD and make every surface follow it exactly. The final rule needs to cover the formula, not only the rate.</w:t>
      </w:r>
    </w:p>
    <w:p/>
    <w:p>
      <w:pPr>
        <w:pStyle w:val="Heading1Custom"/>
      </w:pPr>
      <w:r>
        <w:t>6. Permissions can still drift if feature sections and permission tables are treated as equal sources of truth</w:t>
      </w:r>
    </w:p>
    <w:p>
      <w:pPr>
        <w:pStyle w:val="BodyCustom"/>
      </w:pPr>
      <w:r>
        <w:rPr>
          <w:b/>
        </w:rPr>
        <w:t xml:space="preserve">Problem: </w:t>
      </w:r>
      <w:r>
        <w:t>The current PRD is much better than before, but product sections still sometimes restate role behavior in prose. That is fine until one workflow sentence and one permission table stop matching during future edits.</w:t>
      </w:r>
    </w:p>
    <w:p>
      <w:pPr>
        <w:pStyle w:val="BodyCustom"/>
      </w:pPr>
      <w:r>
        <w:rPr>
          <w:b/>
        </w:rPr>
        <w:t xml:space="preserve">Why it matters: </w:t>
      </w:r>
      <w:r>
        <w:t>When teams implement authorization, they usually wire middleware from the permission matrix, not from scattered workflow paragraphs. One mismatch is enough to give the wrong role the wrong power.</w:t>
      </w:r>
    </w:p>
    <w:p>
      <w:pPr>
        <w:pStyle w:val="BodyCustom"/>
      </w:pPr>
      <w:r>
        <w:rPr>
          <w:b/>
        </w:rPr>
        <w:t xml:space="preserve">What should be there instead: </w:t>
      </w:r>
      <w:r>
        <w:t>Declare the permission matrix the single source of truth. Every feature/workflow section should describe behavior, but any role-specific action should either reference the matrix or mirror it exactly.</w:t>
      </w:r>
    </w:p>
    <w:p/>
    <w:p>
      <w:pPr>
        <w:pStyle w:val="Heading1Custom"/>
      </w:pPr>
      <w:r>
        <w:t>7. The PRD is still overloaded as a document, which makes future drift more likely</w:t>
      </w:r>
    </w:p>
    <w:p>
      <w:pPr>
        <w:pStyle w:val="BodyCustom"/>
      </w:pPr>
      <w:r>
        <w:rPr>
          <w:b/>
        </w:rPr>
        <w:t xml:space="preserve">Problem: </w:t>
      </w:r>
      <w:r>
        <w:t>Even ignoring schema, the PRD still carries product behavior, workflows, permissions, operational notes, architecture-ish guidance, known drawbacks, and backlog planning in one place.</w:t>
      </w:r>
    </w:p>
    <w:p>
      <w:pPr>
        <w:pStyle w:val="BodyCustom"/>
      </w:pPr>
      <w:r>
        <w:rPr>
          <w:b/>
        </w:rPr>
        <w:t xml:space="preserve">Why it matters: </w:t>
      </w:r>
      <w:r>
        <w:t>That makes the document useful, but also heavy. Heavy docs rot because one edit in one section does not always get reflected in every related section, which is how contradictions grow back.</w:t>
      </w:r>
    </w:p>
    <w:p>
      <w:pPr>
        <w:pStyle w:val="BodyCustom"/>
      </w:pPr>
      <w:r>
        <w:rPr>
          <w:b/>
        </w:rPr>
        <w:t xml:space="preserve">What should be there instead: </w:t>
      </w:r>
      <w:r>
        <w:t>Split the final deliverables into three living documents: PRD for product behavior and acceptance rules, System Blueprint for architecture/runtime/module decisions, and Schema Spec for data design.</w:t>
      </w:r>
    </w:p>
    <w:p/>
    <w:p/>
    <w:p>
      <w:r>
        <w:t>8. Wings builder still has a product-rule ambiguity around boneless preparation</w:t>
      </w:r>
    </w:p>
    <w:p>
      <w:r>
        <w:t>Problem: The menu wording says bone-in wings can be house breaded or non-breaded, but boneless wings are only non-breaded. The builder logic must not force a Breaded or Non-Breaded choice for boneless if the actual menu does not support breaded boneless.</w:t>
      </w:r>
    </w:p>
    <w:p>
      <w:r>
        <w:t>Why it matters: If the builder treats boneless the same as bone-in, the UI will offer an invalid preparation path, pricing and fulfillment rules can drift from the real menu, and staff will get orders that do not match what the store actually sells.</w:t>
      </w:r>
    </w:p>
    <w:p>
      <w:r>
        <w:t>What should be there instead: Freeze one hard rule in the PRD and builder spec: Bone-In supports Breaded or Non-Breaded, while Boneless is Non-Breaded only. Step 2 must become conditional so preparation is shown only when the selected wing type actually has multiple valid preparation options.</w:t>
      </w:r>
    </w:p>
    <w:p/>
    <w:p>
      <w:r>
        <w:t>9. Guest checkout identity lifecycle is still under-defined</w:t>
      </w:r>
    </w:p>
    <w:p>
      <w:r>
        <w:t>Problem: The product logic says guest checkout creates a user record immediately, but it does not define the identity lifecycle clearly enough. That leaves room for half-accounts, unclear verification state, and inconsistent upgrade-to-full-account behavior.</w:t>
      </w:r>
    </w:p>
    <w:p>
      <w:r>
        <w:t>Why it matters: Without a hard identity rule, support, auth flows, duplicate-account handling, and password setup can all drift across teams and surfaces.</w:t>
      </w:r>
    </w:p>
    <w:p>
      <w:r>
        <w:t>What should be there instead: Define one explicit guest identity model: every guest order creates a real customer identity, OTP verification establishes trust, password remains nullable until full signup, role stays CUSTOMER, and the same identity is reused rather than creating temporary ghost accounts.</w:t>
      </w:r>
    </w:p>
    <w:p/>
    <w:p>
      <w:r>
        <w:t>10. Silent cart cleanup during fulfillment revalidation is still risky UX</w:t>
      </w:r>
    </w:p>
    <w:p>
      <w:r>
        <w:t>Problem: The current wording allows invalid items or modifiers to be silently removed when the customer changes fulfillment mode and the cart is revalidated.</w:t>
      </w:r>
    </w:p>
    <w:p>
      <w:r>
        <w:t>Why it matters: Silent deletion of intended items is a clean way to annoy customers, increase support friction, and create checkout mistrust even if the server-side rule is technically correct.</w:t>
      </w:r>
    </w:p>
    <w:p>
      <w:r>
        <w:t>What should be there instead: Keep strict server-side enforcement, but require the backend to return a structured revalidation diff so the UI can clearly show what changed, what was removed, what was repriced, and what needs user confirmation.</w:t>
      </w:r>
    </w:p>
    <w:p/>
    <w:p>
      <w:r>
        <w:t>11. Raw menu content still needs normalization before admin entry</w:t>
      </w:r>
    </w:p>
    <w:p>
      <w:r>
        <w:t>Problem: The menu source reads like a board, not a normalized catalog. Flavor names and category patterns repeat across contexts, and combos or specials are still partly described as prose instead of explicit builder rules.</w:t>
      </w:r>
    </w:p>
    <w:p>
      <w:r>
        <w:t>Why it matters: If the team copies menu text straight into admin data entry, duplicate flavors, inconsistent category mapping, and broken builder logic become almost guaranteed.</w:t>
      </w:r>
    </w:p>
    <w:p>
      <w:r>
        <w:t>What should be there instead: Normalize the menu before import. Store canonical flavor rows with tags such as heat or dry-rub category, and express house specials, lunch specials, and combo logic as structured product rules rather than repeated raw strings.</w:t>
      </w:r>
    </w:p>
    <w:p/>
    <w:p>
      <w:r>
        <w:t>12. Reports should not drive the core data model</w:t>
      </w:r>
    </w:p>
    <w:p>
      <w:r>
        <w:t>Problem: The docs mention many reports and dashboards, which is fine, but reporting needs can easily tempt the schema toward one-off tables built for widgets instead of operations.</w:t>
      </w:r>
    </w:p>
    <w:p>
      <w:r>
        <w:t>Why it matters: Report-shaped tables age badly, duplicate truth, and make future product changes harder because analytics shortcuts start dictating operational storage.</w:t>
      </w:r>
    </w:p>
    <w:p>
      <w:r>
        <w:t>What should be there instead: Store canonical operational entities, immutable events, and the minimum snapshots required for historical accuracy. Build reports from those, not from widget-specific tables.</w:t>
      </w:r>
    </w:p>
    <w:p>
      <w:pPr/>
    </w:p>
    <w:p>
      <w:pPr>
        <w:pStyle w:val="Heading1Custom"/>
      </w:pPr>
      <w:r>
        <w:t>11. Section 16.E still shows CANCEL_PENDING</w:t>
      </w:r>
    </w:p>
    <w:p>
      <w:pPr>
        <w:pStyle w:val="BodyCustom"/>
      </w:pPr>
      <w:r>
        <w:t>Problem: One line in Section 16.E still uses shorthand like "CANCEL_PENDING + reason + KDS_CANCEL_REQUEST source (CANCELLED on Admin approval)." Elsewhere, the PRD correctly says the order remains in its current operational status until Admin approves the cancellation request. That makes CANCEL_PENDING read more like a temporary request label than a real order status.</w:t>
      </w:r>
    </w:p>
    <w:p>
      <w:pPr>
        <w:pStyle w:val="BodyCustom"/>
      </w:pPr>
      <w:r>
        <w:t>Why it matters: This is mainly a summary-table wording issue, but it can still confuse QA, frontend behavior, or state-machine assumptions if someone reads the matrix faster than the canonical workflow.</w:t>
      </w:r>
    </w:p>
    <w:p>
      <w:pPr>
        <w:pStyle w:val="BodyCustom"/>
      </w:pPr>
      <w:r>
        <w:t>Why it is minor: The deeper workflow appears to be correct. This looks like compact shorthand in the matrix rather than a true contradiction in the main cancellation model.</w:t>
      </w:r>
    </w:p>
    <w:p>
      <w:pPr>
        <w:pStyle w:val="BodyCustom"/>
      </w:pPr>
      <w:r>
        <w:t>What should be there instead: Replace that line with wording like: "Cancellation request created (pending Admin approval); order remains in current status until approved." That keeps the matrix aligned with the actual workflow without implying a new order status.</w:t>
      </w:r>
    </w:p>
    <w:p>
      <w:pPr/>
    </w:p>
    <w:p>
      <w:pPr>
        <w:pStyle w:val="Heading1Custom"/>
      </w:pPr>
      <w:r>
        <w:t>12. "Order type" still appears in admin-view columns</w:t>
      </w:r>
    </w:p>
    <w:p>
      <w:pPr>
        <w:pStyle w:val="BodyCustom"/>
      </w:pPr>
      <w:r>
        <w:t>Problem: The PRD now correctly states that UI copy may use "order type" while code, APIs, analytics, filters, and specifications must use fulfillment_type. But some admin-view examples still use "Order type" as a display label, which can slowly reintroduce the older wording drift if teams stop treating it as UI-only copy.</w:t>
      </w:r>
    </w:p>
    <w:p>
      <w:pPr>
        <w:pStyle w:val="BodyCustom"/>
      </w:pPr>
      <w:r>
        <w:t>Why it matters: This is mostly a terminology hygiene issue. If left unmanaged, friendly UI wording can leak back into DTO names, analytics labels, admin filters, or backend enums.</w:t>
      </w:r>
    </w:p>
    <w:p>
      <w:pPr>
        <w:pStyle w:val="BodyCustom"/>
      </w:pPr>
      <w:r>
        <w:t>Why it is minor: The PRD already contains the stronger canonical rule, so this is more of a consistency watch-item than a workflow blocker.</w:t>
      </w:r>
    </w:p>
    <w:p>
      <w:pPr>
        <w:pStyle w:val="BodyCustom"/>
      </w:pPr>
      <w:r>
        <w:t>What should be there instead: Keep "Order type" only as deliberate display copy, and add one explicit note near admin/reporting examples that the underlying canonical field remains fulfillment_type in all technical and implementation contexts.</w:t>
      </w:r>
    </w:p>
    <w:p>
      <w:pPr/>
    </w:p>
    <w:p>
      <w:pPr>
        <w:pStyle w:val="Heading1Custom"/>
      </w:pPr>
      <w:r>
        <w:t>13. The MANAGER role description in Section 10.0 is slightly awkward</w:t>
      </w:r>
    </w:p>
    <w:p>
      <w:pPr>
        <w:pStyle w:val="BodyCustom"/>
      </w:pPr>
      <w:r>
        <w:t>Problem: The Section 10.0 role narrative still reads a little awkwardly because MANAGER is described as having all KITCHEN actions plus some elevated behavior, while other parts of the PRD still use Manager/Admin panel language. The permissions are understandable, but the storytelling around the MANAGER role is clunkier than the rest of the document.</w:t>
      </w:r>
    </w:p>
    <w:p>
      <w:pPr>
        <w:pStyle w:val="BodyCustom"/>
      </w:pPr>
      <w:r>
        <w:t>Why it matters: This is not a permission contradiction by itself, but slightly awkward role wording can make the auth model feel less crisp during handoff or future edits.</w:t>
      </w:r>
    </w:p>
    <w:p>
      <w:pPr>
        <w:pStyle w:val="BodyCustom"/>
      </w:pPr>
      <w:r>
        <w:t>Why it is minor: The actual role boundaries are still mostly understandable, so this is polish debt rather than a production-blocking flaw.</w:t>
      </w:r>
    </w:p>
    <w:p>
      <w:pPr>
        <w:pStyle w:val="BodyCustom"/>
      </w:pPr>
      <w:r>
        <w:t>What should be there instead: Tighten the Section 10.0 MANAGER description so it reads as a clean role summary instead of a half-bridge between KITCHEN and Admin language. The goal is cleaner narrative consistency, not a different permission model.</w:t>
      </w:r>
    </w:p>
    <w:p>
      <w:pPr/>
    </w:p>
    <w:p>
      <w:pPr>
        <w:pStyle w:val="Heading1Custom"/>
      </w:pPr>
      <w:r>
        <w:t>14. One KDS summary block is narrower than the actual KDS model</w:t>
      </w:r>
    </w:p>
    <w:p>
      <w:pPr>
        <w:pStyle w:val="BodyCustom"/>
      </w:pPr>
      <w:r>
        <w:t>Problem: In the KDS Cancel Policy summary block, the document says all KDS employees can accept, set preparing, set ready, no-show, adjust ETA, request cancellation, and initiate refund requests, but it leaves out other operational KDS actions that the canonical KDS model now clearly includes, such as driver assignment, busy-driver override, start delivery, complete delivery, and delivery PIN entry.</w:t>
      </w:r>
    </w:p>
    <w:p>
      <w:pPr>
        <w:pStyle w:val="BodyCustom"/>
      </w:pPr>
      <w:r>
        <w:t>Why it matters: The deeper KDS role model and the action matrices are stronger than this summary block. But skim-readers often use the summary first. If that block understates the KDS action set, frontend, backend, or QA can treat the shorter list as the real permission boundary and quietly miss delivery-control actions that are supposed to be available to KDS employees.</w:t>
      </w:r>
    </w:p>
    <w:p>
      <w:pPr>
        <w:pStyle w:val="BodyCustom"/>
      </w:pPr>
      <w:r>
        <w:t>Why it is minor: The canonical KDS model, action matrix, and delivery sections appear to carry the correct workflow. This looks like a compressed summary block lagging behind the fuller sections, not a fundamental contradiction in the actual product rule.</w:t>
      </w:r>
    </w:p>
    <w:p>
      <w:pPr>
        <w:pStyle w:val="BodyCustom"/>
      </w:pPr>
      <w:r>
        <w:t>What should be there instead: Expand that summary block so it mirrors the canonical KDS model more completely, or add one sentence stating that the summary is not exhaustive and that the full KDS operational action set is defined by the canonical KDS role model and status-action matrix.</w:t>
      </w:r>
    </w:p>
    <w:p>
      <w:pPr>
        <w:pStyle w:val="BodyCustom"/>
      </w:pPr>
    </w:p>
    <w:p>
      <w:pPr>
        <w:pStyle w:val="Heading1Custom"/>
      </w:pPr>
      <w:r>
        <w:t>15. The pickup status matrix still has one stale note at ACCEPTED</w:t>
      </w:r>
    </w:p>
    <w:p>
      <w:pPr>
        <w:pStyle w:val="BodyCustom"/>
      </w:pPr>
      <w:r>
        <w:t>Problem: In the pickup order status matrix, the ACCEPTED row still says, “Reject still allowed at ACCEPTED. Beyond this: Admin/Manager panel only.” Elsewhere, the PRD now allows a KDS chat-cancel request flow at PREPARING and other non-final stages, with Admin approval required before final cancellation. That makes the note too narrow for the current workflow.</w:t>
      </w:r>
    </w:p>
    <w:p>
      <w:pPr>
        <w:pStyle w:val="BodyCustom"/>
      </w:pPr>
      <w:r>
        <w:t>Why it matters: This is another summary-table drift issue. Someone skimming the matrix could wrongly conclude that cancellation-related action disappears from KDS after ACCEPTED, even though the later-stage chat-based cancellation request path still exists.</w:t>
      </w:r>
    </w:p>
    <w:p>
      <w:pPr>
        <w:pStyle w:val="BodyCustom"/>
      </w:pPr>
      <w:r>
        <w:t>Why it is minor: The fuller cancellation workflow appears to be correct, and this looks like one stale note inside a compact matrix rather than a broken end-to-end rule.</w:t>
      </w:r>
    </w:p>
    <w:p>
      <w:pPr>
        <w:pStyle w:val="BodyCustom"/>
      </w:pPr>
      <w:r>
        <w:t>What should be there instead: Rewrite the ACCEPTED-row note so it stays consistent with the later-stage request model, for example: “Direct reject is limited to PLACED and ACCEPTED. Beyond ACCEPTED, KDS may still submit chat-based cancellation requests, pending Admin approval.”</w:t>
      </w:r>
    </w:p>
    <w:p>
      <w:pPr>
        <w:pStyle w:val="BodyCustom"/>
      </w:pP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Custom">
    <w:name w:val="BodyCustom"/>
    <w:basedOn w:val="Normal"/>
    <w:rPr>
      <w:rFonts w:ascii="Aptos" w:hAnsi="Aptos"/>
      <w:sz w:val="21"/>
    </w:rPr>
  </w:style>
  <w:style w:type="paragraph" w:customStyle="1" w:styleId="TitleCustom">
    <w:name w:val="TitleCustom"/>
    <w:basedOn w:val="Title"/>
    <w:rPr>
      <w:rFonts w:ascii="Aptos" w:hAnsi="Aptos"/>
      <w:b/>
      <w:color w:val="1F4E79"/>
      <w:sz w:val="44"/>
    </w:rPr>
  </w:style>
  <w:style w:type="paragraph" w:customStyle="1" w:styleId="Heading1Custom">
    <w:name w:val="Heading1Custom"/>
    <w:basedOn w:val="Heading1"/>
    <w:rPr>
      <w:rFonts w:ascii="Aptos" w:hAnsi="Aptos"/>
      <w:b/>
      <w:color w:val="1F4E79"/>
      <w:sz w:val="30"/>
    </w:rPr>
  </w:style>
  <w:style w:type="paragraph" w:customStyle="1" w:styleId="Heading2Custom">
    <w:name w:val="Heading2Custom"/>
    <w:basedOn w:val="Heading2"/>
    <w:rPr>
      <w:rFonts w:ascii="Aptos" w:hAnsi="Aptos"/>
      <w:b/>
      <w:color w:val="2F2F2F"/>
      <w:sz w:val="24"/>
    </w:rPr>
  </w:style>
  <w:style w:type="paragraph" w:customStyle="1" w:styleId="Heading3Custom">
    <w:name w:val="Heading3Custom"/>
    <w:basedOn w:val="Heading3"/>
    <w:rPr>
      <w:rFonts w:ascii="Aptos" w:hAnsi="Aptos"/>
      <w:b/>
      <w:color w:val="4F4F4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