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Roboto" w:cs="Roboto" w:eastAsia="Roboto" w:hAnsi="Roboto"/>
          <w:sz w:val="20"/>
          <w:szCs w:val="20"/>
          <w:highlight w:val="white"/>
        </w:rPr>
      </w:pPr>
      <w:r w:rsidDel="00000000" w:rsidR="00000000" w:rsidRPr="00000000">
        <w:rPr>
          <w:b w:val="1"/>
          <w:highlight w:val="white"/>
          <w:rtl w:val="0"/>
        </w:rPr>
        <w:t xml:space="preserve">[Team member], CEO</w:t>
      </w:r>
      <w:r w:rsidDel="00000000" w:rsidR="00000000" w:rsidRPr="00000000">
        <w:rPr>
          <w:highlight w:val="white"/>
          <w:rtl w:val="0"/>
        </w:rPr>
        <w:br w:type="textWrapping"/>
      </w:r>
      <w:r w:rsidDel="00000000" w:rsidR="00000000" w:rsidRPr="00000000">
        <w:rPr>
          <w:highlight w:val="white"/>
          <w:rtl w:val="0"/>
        </w:rPr>
        <w:br w:type="textWrapping"/>
        <w:t xml:space="preserve">Dear UFP Panel,</w:t>
        <w:br w:type="textWrapping"/>
        <w:br w:type="textWrapping"/>
        <w:t xml:space="preserve">We are Ambient Systems, a B2B SaaS spin-off from National University of Singapore (NUS) providing artificial intelligence (AI) solutions for niched buildings. Current smart building systems offer energy management to traditional offices but specialised buildings like indoor farms and healthcare facilities involve managing a set of priorities beyond reducing energy costs. Our software leverages AI to resolve complex issues for clients, for instance assisting indoor farm operators in providing optimal growing climates with the most efficient energy usage. We are prepared to commit to working with UTEC as UFP aligns with our goals, mainly</w:t>
        <w:br w:type="textWrapping"/>
        <w:br w:type="textWrapping"/>
        <w:t xml:space="preserve">(i) In order to bring our AI solution to a market worth $110M in revenue, we have to work with UTEC which has a proven track record of successfully commercialising deep-tech initiatives .</w:t>
        <w:br w:type="textWrapping"/>
        <w:t xml:space="preserve">(ii) Japan presents research potential for our target segments i.e. indoor farms and healthcare, and there is opportunity for academia collaboration in driving efficiency for specialised building.</w:t>
        <w:br w:type="textWrapping"/>
        <w:t xml:space="preserve">(iii) There is potential in Ambient being a provider of efficient solutions towards solving global issues like ensuring food security and improving healthcare among aging populations.</w:t>
        <w:br w:type="textWrapping"/>
        <w:br w:type="textWrapping"/>
        <w:t xml:space="preserve">Firstly, Ambient requires the experience of UTEC in order to carry on the momentum towards commercialisation in Japan. In the last 6 months, we have completed a 6-digit fundraise from National University of Singapore (NUS), launched our minimum viable product (MVP), signed 2 memorandum of understanding (MOU) and filed our patent for our AI solution. We have set out to fully develop our product for commercialisation by end of the year and start monetizing in Singapore and Japan. Two factors that are integral to our product roadmap would be having more engineering expertise and concurrently running more projects on the ground for data collection purposes. Apart from the need to fill the funding gap between our fund raise to commercialisation, we recognised that working with UTEC would be critical to the many moving </w:t>
        <w:br w:type="textWrapping"/>
        <w:t xml:space="preserve">parts across engineering development, new market activation and research. We are motivated and confident of the invaluable experience that UTEC has garnered from years of investing into early-stage deep-tech companies. With an impressive portfolio across numerous global AI solutions, Ambient believes that the offerings provided by UFP across strategic advice, recruitment support and network introductions would be key in our expansion towards Japan.</w:t>
        <w:br w:type="textWrapping"/>
        <w:t xml:space="preserve">Secondly, our traction has validated our hypothesis that the building management systems (BMS) of today have yet to meet the needs of our modern buildings and there is research potential in the area of prescriptive maintenance within specific use cases. Most BMS operate in a closed loop system which cuts off communication with operational systems, leading to an information gap between desired outcomes and equipment settings. In an indoor farm, there is a mismatch between desired outcomes e.g. crop growth and equipment settings. Likewise, in healthcare facilities, building systems are disconnected from priorities such as patient well-being or hospital associated infections (HAI) preventions. The disconnect between a lack of in-house expertise and competing priorities often leads to loss of productivity, energy wastage and undesirable output and hence overall poor utilization. The core of our solution relies on our patented AI methodology to overcome these challenges faced in the built environment. A key factor in executing our computing innovation is to explore machine learning techniques that could balance different domains of priorities which at present is absent from most BMS as they focus mainly on energy savings. We believe that research developments in this domain is still nascent and Ambient has been a benefactor of academia collaborations having filed our IP patent under the guidance of NUS. A key factor of our recent traction was owing to the development of our solution alongside rigorous and credible university academic research. We look forward to the immense collaboration potential of benefiting from the </w:t>
      </w:r>
      <w:r w:rsidDel="00000000" w:rsidR="00000000" w:rsidRPr="00000000">
        <w:rPr>
          <w:highlight w:val="white"/>
          <w:rtl w:val="0"/>
        </w:rPr>
        <w:t xml:space="preserve">rich network of UTEC across academic institutions, government organisations and corporations.</w:t>
        <w:br w:type="textWrapping"/>
        <w:br w:type="textWrapping"/>
        <w:t xml:space="preserve">Lastly, our solution looks to optimise key segments like those of indoor farms (improvement of crop growth) and healthcare facilities (ensuring patient well-being) which would contribute to the broader goals of not only Japan but also global issues relating to food security and an aging population. As a provider of AI solutions for smart buildings, our two launch markets are climate optimization for indoor farms and environmental control for healthcare facilities. In Japan alone, there are an estimated 200+ indoor farms and 8300+ hospital facilities all of which are potential adopters of leveraging AI to transform the way they operate. Specifically in indoor farms, customers can expect energy savings of 25% to 35%, improve crop yields by 25% to 75% and 25% reduction in man-hours. The potential to improve operations on indoor farms points toward the common goal of achieving sustainable alternatives to alleviate food security concerns amidst recent climate changes. The same goes towards managing operations in healthcare facilities especially in the current covid pandemic where providing a safe rehabilitation environment is of utmost importance. </w:t>
        <w:br w:type="textWrapping"/>
        <w:t xml:space="preserve">At our pre-commercialisation stage, it is critical for us to be under the guidance of advisors with deep technical know-how and the UFP panel provides that level of depth we are seeking. We are cognizant of the array of relevant STEM experiences across AI research, data science and deep-tech ventures  that UTEC is able to provide. We look forward to a potential collaboration in complementing our expansion into Japan and hope to hear a favorable response from you.</w:t>
        <w:br w:type="textWrapping"/>
        <w:br w:type="textWrapping"/>
      </w:r>
      <w:r w:rsidDel="00000000" w:rsidR="00000000" w:rsidRPr="00000000">
        <w:rPr>
          <w:b w:val="1"/>
          <w:highlight w:val="white"/>
          <w:rtl w:val="0"/>
        </w:rPr>
        <w:t xml:space="preserve">With regards,</w:t>
      </w:r>
      <w:r w:rsidDel="00000000" w:rsidR="00000000" w:rsidRPr="00000000">
        <w:rPr>
          <w:highlight w:val="white"/>
          <w:rtl w:val="0"/>
        </w:rPr>
        <w:br w:type="textWrapping"/>
        <w:t xml:space="preserve">[Team member], CEO</w:t>
        <w:br w:type="textWrapping"/>
        <w:t xml:space="preserve">Ambient Systems</w:t>
        <w:br w:type="textWrapping"/>
        <w:t xml:space="preserve">---</w:t>
        <w:br w:type="textWrapping"/>
      </w:r>
      <w:r w:rsidDel="00000000" w:rsidR="00000000" w:rsidRPr="00000000">
        <w:rPr>
          <w:highlight w:val="white"/>
          <w:u w:val="single"/>
          <w:rtl w:val="0"/>
        </w:rPr>
        <w:t xml:space="preserve">Relevant Links</w:t>
      </w:r>
      <w:r w:rsidDel="00000000" w:rsidR="00000000" w:rsidRPr="00000000">
        <w:rPr>
          <w:highlight w:val="white"/>
          <w:rtl w:val="0"/>
        </w:rPr>
        <w:br w:type="textWrapping"/>
        <w:t xml:space="preserve">Email: </w:t>
      </w:r>
      <w:hyperlink r:id="rId6">
        <w:r w:rsidDel="00000000" w:rsidR="00000000" w:rsidRPr="00000000">
          <w:rPr>
            <w:color w:val="1155cc"/>
            <w:highlight w:val="white"/>
            <w:u w:val="single"/>
            <w:rtl w:val="0"/>
          </w:rPr>
          <w:t xml:space="preserve">ivan@ambientsystems.ai</w:t>
        </w:r>
      </w:hyperlink>
      <w:r w:rsidDel="00000000" w:rsidR="00000000" w:rsidRPr="00000000">
        <w:rPr>
          <w:highlight w:val="white"/>
          <w:rtl w:val="0"/>
        </w:rPr>
        <w:br w:type="textWrapping"/>
        <w:t xml:space="preserve">Website: </w:t>
      </w:r>
      <w:hyperlink r:id="rId7">
        <w:r w:rsidDel="00000000" w:rsidR="00000000" w:rsidRPr="00000000">
          <w:rPr>
            <w:color w:val="1155cc"/>
            <w:highlight w:val="white"/>
            <w:u w:val="single"/>
            <w:rtl w:val="0"/>
          </w:rPr>
          <w:t xml:space="preserve">www.ambientsystems.ai</w:t>
        </w:r>
      </w:hyperlink>
      <w:r w:rsidDel="00000000" w:rsidR="00000000" w:rsidRPr="00000000">
        <w:rPr>
          <w:highlight w:val="white"/>
          <w:rtl w:val="0"/>
        </w:rPr>
        <w:br w:type="textWrapping"/>
        <w:t xml:space="preserve">Featured: </w:t>
      </w:r>
      <w:hyperlink r:id="rId8">
        <w:r w:rsidDel="00000000" w:rsidR="00000000" w:rsidRPr="00000000">
          <w:rPr>
            <w:color w:val="1155cc"/>
            <w:highlight w:val="white"/>
            <w:u w:val="single"/>
            <w:rtl w:val="0"/>
          </w:rPr>
          <w:t xml:space="preserve">NUS GRIP</w:t>
        </w:r>
      </w:hyperlink>
      <w:r w:rsidDel="00000000" w:rsidR="00000000" w:rsidRPr="00000000">
        <w:rPr>
          <w:highlight w:val="white"/>
          <w:rtl w:val="0"/>
        </w:rPr>
        <w:br w:type="textWrapping"/>
      </w:r>
      <w:r w:rsidDel="00000000" w:rsidR="00000000" w:rsidRPr="00000000">
        <w:rPr>
          <w:rFonts w:ascii="Roboto" w:cs="Roboto" w:eastAsia="Roboto" w:hAnsi="Roboto"/>
          <w:sz w:val="20"/>
          <w:szCs w:val="20"/>
          <w:highlight w:val="white"/>
          <w:rtl w:val="0"/>
        </w:rPr>
        <w:br w:type="textWrapping"/>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jc w:val="right"/>
      <w:rPr>
        <w:sz w:val="20"/>
        <w:szCs w:val="20"/>
      </w:rPr>
    </w:pPr>
    <w:r w:rsidDel="00000000" w:rsidR="00000000" w:rsidRPr="00000000">
      <w:rPr>
        <w:sz w:val="20"/>
        <w:szCs w:val="20"/>
        <w:rtl w:val="0"/>
      </w:rPr>
      <w:t xml:space="preserve">Ambient Systems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-76199</wp:posOffset>
          </wp:positionV>
          <wp:extent cx="1204913" cy="462814"/>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204913" cy="462814"/>
                  </a:xfrm>
                  <a:prstGeom prst="rect"/>
                  <a:ln/>
                </pic:spPr>
              </pic:pic>
            </a:graphicData>
          </a:graphic>
        </wp:anchor>
      </w:drawing>
    </w:r>
  </w:p>
  <w:p w:rsidR="00000000" w:rsidDel="00000000" w:rsidP="00000000" w:rsidRDefault="00000000" w:rsidRPr="00000000" w14:paraId="00000003">
    <w:pPr>
      <w:jc w:val="right"/>
      <w:rPr>
        <w:sz w:val="20"/>
        <w:szCs w:val="20"/>
      </w:rPr>
    </w:pPr>
    <w:r w:rsidDel="00000000" w:rsidR="00000000" w:rsidRPr="00000000">
      <w:rPr>
        <w:sz w:val="20"/>
        <w:szCs w:val="20"/>
        <w:rtl w:val="0"/>
      </w:rPr>
      <w:t xml:space="preserve">160 Robinson Road</w:t>
      <w:br w:type="textWrapping"/>
      <w:t xml:space="preserve">Singapore (068914)</w:t>
    </w:r>
  </w:p>
  <w:p w:rsidR="00000000" w:rsidDel="00000000" w:rsidP="00000000" w:rsidRDefault="00000000" w:rsidRPr="00000000" w14:paraId="0000000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ivan@ambientsystems.ai" TargetMode="External"/><Relationship Id="rId7" Type="http://schemas.openxmlformats.org/officeDocument/2006/relationships/hyperlink" Target="http://www.ambientsystems.ai" TargetMode="External"/><Relationship Id="rId8" Type="http://schemas.openxmlformats.org/officeDocument/2006/relationships/hyperlink" Target="https://nus.edu.sg/grip/news/nus-grip-run-5-lift-off-da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