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1586A" w14:textId="0A250A72" w:rsidR="001B1A33" w:rsidRPr="00E81164" w:rsidRDefault="001B1A33">
      <w:pPr>
        <w:rPr>
          <w:rFonts w:asciiTheme="minorHAnsi" w:eastAsia="Avenir" w:hAnsiTheme="minorHAnsi" w:cs="Avenir"/>
          <w:color w:val="33475B"/>
          <w:sz w:val="20"/>
          <w:szCs w:val="20"/>
        </w:rPr>
      </w:pPr>
    </w:p>
    <w:tbl>
      <w:tblPr>
        <w:tblStyle w:val="a"/>
        <w:tblpPr w:leftFromText="181" w:rightFromText="181" w:vertAnchor="page" w:horzAnchor="page" w:tblpXSpec="center" w:tblpYSpec="center"/>
        <w:tblOverlap w:val="never"/>
        <w:tblW w:w="1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7"/>
        <w:gridCol w:w="3544"/>
        <w:gridCol w:w="4678"/>
      </w:tblGrid>
      <w:tr w:rsidR="00AB1F4F" w:rsidRPr="00AF1FB9" w14:paraId="3679D2D5" w14:textId="77777777" w:rsidTr="00210325">
        <w:trPr>
          <w:trHeight w:val="1612"/>
        </w:trPr>
        <w:tc>
          <w:tcPr>
            <w:tcW w:w="2977" w:type="dxa"/>
            <w:tcBorders>
              <w:top w:val="nil"/>
              <w:left w:val="nil"/>
              <w:bottom w:val="nil"/>
              <w:right w:val="nil"/>
            </w:tcBorders>
            <w:shd w:val="clear" w:color="auto" w:fill="F2F2F2" w:themeFill="background1" w:themeFillShade="F2"/>
            <w:tcMar>
              <w:top w:w="100" w:type="dxa"/>
              <w:left w:w="100" w:type="dxa"/>
              <w:bottom w:w="100" w:type="dxa"/>
              <w:right w:w="100" w:type="dxa"/>
            </w:tcMar>
            <w:vAlign w:val="center"/>
          </w:tcPr>
          <w:p w14:paraId="1F2C1982" w14:textId="2BDBEC86" w:rsidR="00AB1F4F" w:rsidRPr="00AF1FB9" w:rsidRDefault="00AB1F4F" w:rsidP="00210325">
            <w:pPr>
              <w:pStyle w:val="Title"/>
              <w:jc w:val="center"/>
              <w:rPr>
                <w:rFonts w:asciiTheme="minorHAnsi" w:eastAsiaTheme="minorHAnsi" w:hAnsiTheme="minorHAnsi" w:cstheme="minorBidi"/>
                <w:sz w:val="22"/>
                <w:szCs w:val="22"/>
              </w:rPr>
            </w:pPr>
            <w:bookmarkStart w:id="0" w:name="_4fgwdnpzf1pj" w:colFirst="0" w:colLast="0"/>
            <w:bookmarkEnd w:id="0"/>
            <w:r w:rsidRPr="00AF1FB9">
              <w:rPr>
                <w:rFonts w:asciiTheme="minorHAnsi" w:eastAsia="Avenir" w:hAnsiTheme="minorHAnsi" w:cs="Avenir"/>
                <w:noProof/>
                <w:color w:val="FFFFFF"/>
                <w:sz w:val="22"/>
                <w:szCs w:val="22"/>
              </w:rPr>
              <w:drawing>
                <wp:inline distT="114300" distB="114300" distL="114300" distR="114300" wp14:anchorId="2F0DAD84" wp14:editId="3AC67CD1">
                  <wp:extent cx="1769533" cy="838200"/>
                  <wp:effectExtent l="0" t="0" r="0" b="0"/>
                  <wp:docPr id="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770170" cy="838502"/>
                          </a:xfrm>
                          <a:prstGeom prst="rect">
                            <a:avLst/>
                          </a:prstGeom>
                          <a:ln/>
                        </pic:spPr>
                      </pic:pic>
                    </a:graphicData>
                  </a:graphic>
                </wp:inline>
              </w:drawing>
            </w:r>
          </w:p>
        </w:tc>
        <w:tc>
          <w:tcPr>
            <w:tcW w:w="8222" w:type="dxa"/>
            <w:gridSpan w:val="2"/>
            <w:tcBorders>
              <w:top w:val="nil"/>
              <w:left w:val="nil"/>
              <w:bottom w:val="nil"/>
              <w:right w:val="nil"/>
            </w:tcBorders>
            <w:shd w:val="clear" w:color="auto" w:fill="F2F2F2" w:themeFill="background1" w:themeFillShade="F2"/>
          </w:tcPr>
          <w:p w14:paraId="6E5E82BE" w14:textId="67B15BE4" w:rsidR="00AB1F4F" w:rsidRPr="00AF1FB9" w:rsidRDefault="00AB1F4F" w:rsidP="002F12C7">
            <w:pPr>
              <w:pStyle w:val="Title"/>
              <w:ind w:left="720"/>
              <w:jc w:val="right"/>
              <w:rPr>
                <w:rFonts w:asciiTheme="minorHAnsi" w:eastAsia="Avenir" w:hAnsiTheme="minorHAnsi" w:cs="Avenir"/>
                <w:color w:val="33475B"/>
                <w:sz w:val="22"/>
                <w:szCs w:val="22"/>
              </w:rPr>
            </w:pPr>
            <w:r w:rsidRPr="00AF1FB9">
              <w:rPr>
                <w:rFonts w:asciiTheme="minorHAnsi" w:eastAsia="Avenir" w:hAnsiTheme="minorHAnsi" w:cs="Avenir"/>
                <w:b/>
                <w:bCs/>
                <w:color w:val="33475B"/>
                <w:sz w:val="22"/>
                <w:szCs w:val="22"/>
              </w:rPr>
              <w:t>Industry</w:t>
            </w:r>
            <w:r w:rsidRPr="00AF1FB9">
              <w:rPr>
                <w:rFonts w:asciiTheme="minorHAnsi" w:eastAsia="Avenir" w:hAnsiTheme="minorHAnsi" w:cs="Avenir"/>
                <w:color w:val="33475B"/>
                <w:sz w:val="22"/>
                <w:szCs w:val="22"/>
              </w:rPr>
              <w:t xml:space="preserve">: </w:t>
            </w:r>
            <w:r w:rsidR="00EE1BFE">
              <w:rPr>
                <w:rFonts w:asciiTheme="minorHAnsi" w:eastAsia="Avenir" w:hAnsiTheme="minorHAnsi" w:cs="Avenir"/>
                <w:color w:val="33475B"/>
                <w:sz w:val="22"/>
                <w:szCs w:val="22"/>
              </w:rPr>
              <w:t>Commercial Real Estate</w:t>
            </w:r>
          </w:p>
          <w:p w14:paraId="37F5DE50" w14:textId="3ACAB181" w:rsidR="00AB1F4F" w:rsidRPr="00AF1FB9" w:rsidRDefault="00AB1F4F" w:rsidP="002F12C7">
            <w:pPr>
              <w:pStyle w:val="Title"/>
              <w:ind w:left="720"/>
              <w:jc w:val="right"/>
              <w:rPr>
                <w:rFonts w:asciiTheme="minorHAnsi" w:eastAsia="Avenir" w:hAnsiTheme="minorHAnsi" w:cs="Avenir"/>
                <w:b/>
                <w:bCs/>
                <w:color w:val="33475B"/>
                <w:sz w:val="22"/>
                <w:szCs w:val="22"/>
              </w:rPr>
            </w:pPr>
            <w:r w:rsidRPr="00AF1FB9">
              <w:rPr>
                <w:rFonts w:asciiTheme="minorHAnsi" w:eastAsia="Avenir" w:hAnsiTheme="minorHAnsi" w:cs="Avenir"/>
                <w:b/>
                <w:bCs/>
                <w:color w:val="33475B"/>
                <w:sz w:val="22"/>
                <w:szCs w:val="22"/>
              </w:rPr>
              <w:t>Buyer Persona</w:t>
            </w:r>
            <w:r w:rsidRPr="00AF1FB9">
              <w:rPr>
                <w:rFonts w:asciiTheme="minorHAnsi" w:eastAsia="Avenir" w:hAnsiTheme="minorHAnsi" w:cs="Avenir"/>
                <w:color w:val="33475B"/>
                <w:sz w:val="22"/>
                <w:szCs w:val="22"/>
              </w:rPr>
              <w:t>: Finance Director, Head of Finance, Controller, Accountant</w:t>
            </w:r>
          </w:p>
          <w:p w14:paraId="65581BE2" w14:textId="2CD9BB5E" w:rsidR="00AB1F4F" w:rsidRPr="00AF1FB9" w:rsidRDefault="00AB1F4F" w:rsidP="002F12C7">
            <w:pPr>
              <w:pStyle w:val="Title"/>
              <w:ind w:left="720"/>
              <w:jc w:val="right"/>
              <w:rPr>
                <w:rFonts w:asciiTheme="minorHAnsi" w:eastAsia="Avenir" w:hAnsiTheme="minorHAnsi" w:cs="Avenir"/>
                <w:color w:val="33475B"/>
                <w:sz w:val="22"/>
                <w:szCs w:val="22"/>
              </w:rPr>
            </w:pPr>
            <w:r w:rsidRPr="00AF1FB9">
              <w:rPr>
                <w:rFonts w:asciiTheme="minorHAnsi" w:eastAsia="Avenir" w:hAnsiTheme="minorHAnsi" w:cs="Avenir"/>
                <w:b/>
                <w:bCs/>
                <w:color w:val="33475B"/>
                <w:sz w:val="22"/>
                <w:szCs w:val="22"/>
              </w:rPr>
              <w:t>Product</w:t>
            </w:r>
            <w:r w:rsidRPr="00AF1FB9">
              <w:rPr>
                <w:rFonts w:asciiTheme="minorHAnsi" w:eastAsia="Avenir" w:hAnsiTheme="minorHAnsi" w:cs="Avenir"/>
                <w:color w:val="33475B"/>
                <w:sz w:val="22"/>
                <w:szCs w:val="22"/>
              </w:rPr>
              <w:t>: Ambient's Enterprise Software Platform for Financial Management</w:t>
            </w:r>
          </w:p>
          <w:p w14:paraId="30C87DF4" w14:textId="77777777" w:rsidR="00AB1F4F" w:rsidRPr="00AF1FB9" w:rsidRDefault="00AB1F4F" w:rsidP="002F12C7">
            <w:pPr>
              <w:pStyle w:val="Title"/>
              <w:ind w:left="720"/>
              <w:jc w:val="right"/>
              <w:rPr>
                <w:rFonts w:asciiTheme="minorHAnsi" w:eastAsia="Avenir" w:hAnsiTheme="minorHAnsi" w:cs="Avenir"/>
                <w:color w:val="33475B"/>
                <w:sz w:val="22"/>
                <w:szCs w:val="22"/>
              </w:rPr>
            </w:pPr>
            <w:r w:rsidRPr="00AF1FB9">
              <w:rPr>
                <w:rFonts w:asciiTheme="minorHAnsi" w:eastAsia="Avenir" w:hAnsiTheme="minorHAnsi" w:cs="Avenir"/>
                <w:b/>
                <w:bCs/>
                <w:color w:val="33475B"/>
                <w:sz w:val="22"/>
                <w:szCs w:val="22"/>
              </w:rPr>
              <w:t>Author</w:t>
            </w:r>
            <w:r w:rsidRPr="00AF1FB9">
              <w:rPr>
                <w:rFonts w:asciiTheme="minorHAnsi" w:eastAsia="Avenir" w:hAnsiTheme="minorHAnsi" w:cs="Avenir"/>
                <w:color w:val="33475B"/>
                <w:sz w:val="22"/>
                <w:szCs w:val="22"/>
              </w:rPr>
              <w:t>: Ivan Damnjanovic</w:t>
            </w:r>
          </w:p>
          <w:p w14:paraId="7C6E81E3" w14:textId="7A2899F1" w:rsidR="00AB1F4F" w:rsidRPr="00AF1FB9" w:rsidRDefault="00AB1F4F" w:rsidP="002F12C7">
            <w:pPr>
              <w:pStyle w:val="Title"/>
              <w:ind w:left="720"/>
              <w:jc w:val="right"/>
              <w:rPr>
                <w:rFonts w:asciiTheme="minorHAnsi" w:eastAsia="Avenir" w:hAnsiTheme="minorHAnsi" w:cs="Avenir"/>
                <w:color w:val="33475B"/>
                <w:sz w:val="22"/>
                <w:szCs w:val="22"/>
              </w:rPr>
            </w:pPr>
            <w:r w:rsidRPr="00AF1FB9">
              <w:rPr>
                <w:rFonts w:asciiTheme="minorHAnsi" w:eastAsia="Avenir" w:hAnsiTheme="minorHAnsi" w:cs="Avenir"/>
                <w:b/>
                <w:bCs/>
                <w:color w:val="33475B"/>
                <w:sz w:val="22"/>
                <w:szCs w:val="22"/>
              </w:rPr>
              <w:t>Publish Date</w:t>
            </w:r>
            <w:r w:rsidRPr="00AF1FB9">
              <w:rPr>
                <w:rFonts w:asciiTheme="minorHAnsi" w:eastAsia="Avenir" w:hAnsiTheme="minorHAnsi" w:cs="Avenir"/>
                <w:color w:val="33475B"/>
                <w:sz w:val="22"/>
                <w:szCs w:val="22"/>
              </w:rPr>
              <w:t xml:space="preserve">: </w:t>
            </w:r>
            <w:r w:rsidR="00674D59">
              <w:rPr>
                <w:rFonts w:asciiTheme="minorHAnsi" w:eastAsia="Avenir" w:hAnsiTheme="minorHAnsi" w:cs="Avenir"/>
                <w:color w:val="33475B"/>
                <w:sz w:val="22"/>
                <w:szCs w:val="22"/>
              </w:rPr>
              <w:t>May 31</w:t>
            </w:r>
            <w:r w:rsidR="00062626">
              <w:rPr>
                <w:rFonts w:asciiTheme="minorHAnsi" w:eastAsia="Avenir" w:hAnsiTheme="minorHAnsi" w:cs="Avenir"/>
                <w:color w:val="33475B"/>
                <w:sz w:val="22"/>
                <w:szCs w:val="22"/>
              </w:rPr>
              <w:t>, 2023</w:t>
            </w:r>
          </w:p>
        </w:tc>
      </w:tr>
      <w:tr w:rsidR="001B1A33" w:rsidRPr="00AF1FB9" w14:paraId="73F85D5B" w14:textId="77777777" w:rsidTr="002F12C7">
        <w:trPr>
          <w:trHeight w:val="451"/>
        </w:trPr>
        <w:tc>
          <w:tcPr>
            <w:tcW w:w="11199" w:type="dxa"/>
            <w:gridSpan w:val="3"/>
            <w:tcBorders>
              <w:top w:val="nil"/>
              <w:left w:val="single" w:sz="8" w:space="0" w:color="E5F5F8"/>
              <w:bottom w:val="single" w:sz="8" w:space="0" w:color="7FD1DE"/>
              <w:right w:val="single" w:sz="8" w:space="0" w:color="E5F5F8"/>
            </w:tcBorders>
            <w:shd w:val="clear" w:color="auto" w:fill="E5F5F8"/>
            <w:tcMar>
              <w:top w:w="100" w:type="dxa"/>
              <w:left w:w="100" w:type="dxa"/>
              <w:bottom w:w="100" w:type="dxa"/>
              <w:right w:w="100" w:type="dxa"/>
            </w:tcMar>
          </w:tcPr>
          <w:p w14:paraId="601A6416" w14:textId="77777777" w:rsidR="009C0EAA" w:rsidRDefault="009C0EAA" w:rsidP="002F12C7">
            <w:pPr>
              <w:ind w:left="720"/>
              <w:rPr>
                <w:rFonts w:asciiTheme="minorHAnsi" w:eastAsia="Avenir" w:hAnsiTheme="minorHAnsi" w:cs="Avenir"/>
                <w:color w:val="33475B"/>
                <w:lang w:val="en-CA"/>
              </w:rPr>
            </w:pPr>
            <w:bookmarkStart w:id="1" w:name="_efu5kf62gs5o" w:colFirst="0" w:colLast="0"/>
            <w:bookmarkStart w:id="2" w:name="_icrgwdfif23p" w:colFirst="0" w:colLast="0"/>
            <w:bookmarkEnd w:id="1"/>
            <w:bookmarkEnd w:id="2"/>
          </w:p>
          <w:p w14:paraId="5EDCE9AD" w14:textId="4DCD82A9" w:rsidR="00933451" w:rsidRPr="00AF1FB9" w:rsidRDefault="00933451" w:rsidP="002F12C7">
            <w:pPr>
              <w:ind w:left="720"/>
              <w:rPr>
                <w:rFonts w:asciiTheme="minorHAnsi" w:eastAsia="Avenir" w:hAnsiTheme="minorHAnsi" w:cs="Avenir"/>
                <w:b/>
                <w:bCs/>
                <w:color w:val="33475B"/>
                <w:lang w:val="en-CA"/>
              </w:rPr>
            </w:pPr>
            <w:r w:rsidRPr="00AF1FB9">
              <w:rPr>
                <w:rFonts w:asciiTheme="minorHAnsi" w:eastAsia="Avenir" w:hAnsiTheme="minorHAnsi" w:cs="Avenir"/>
                <w:b/>
                <w:bCs/>
                <w:color w:val="33475B"/>
                <w:lang w:val="en-CA"/>
              </w:rPr>
              <w:t>Transforming Financial Management</w:t>
            </w:r>
          </w:p>
          <w:p w14:paraId="0272E3B8" w14:textId="77777777" w:rsidR="00EE1BFE" w:rsidRPr="00EE1BFE" w:rsidRDefault="00EE1BFE" w:rsidP="00EE1BFE">
            <w:pPr>
              <w:ind w:left="720"/>
              <w:rPr>
                <w:rFonts w:asciiTheme="minorHAnsi" w:eastAsia="Avenir" w:hAnsiTheme="minorHAnsi" w:cs="Avenir"/>
                <w:color w:val="33475B"/>
                <w:lang w:val="en-CA"/>
              </w:rPr>
            </w:pPr>
            <w:r w:rsidRPr="00EE1BFE">
              <w:rPr>
                <w:rFonts w:asciiTheme="minorHAnsi" w:eastAsia="Avenir" w:hAnsiTheme="minorHAnsi" w:cs="Avenir"/>
                <w:color w:val="33475B"/>
                <w:lang w:val="en-CA"/>
              </w:rPr>
              <w:t>Unlocking Financial Potential: Empowering Commercial Real Estate Companies</w:t>
            </w:r>
          </w:p>
          <w:p w14:paraId="22AEA334" w14:textId="72F937FF" w:rsidR="001B1A33" w:rsidRPr="00AF1FB9" w:rsidRDefault="000D5149" w:rsidP="002F12C7">
            <w:pPr>
              <w:pStyle w:val="Heading2"/>
              <w:ind w:left="720" w:right="600"/>
              <w:rPr>
                <w:rFonts w:asciiTheme="minorHAnsi" w:eastAsia="Avenir" w:hAnsiTheme="minorHAnsi" w:cs="Avenir"/>
                <w:b/>
                <w:bCs/>
                <w:color w:val="33475B"/>
                <w:sz w:val="22"/>
                <w:szCs w:val="22"/>
              </w:rPr>
            </w:pPr>
            <w:bookmarkStart w:id="3" w:name="_hca26setb5h" w:colFirst="0" w:colLast="0"/>
            <w:bookmarkEnd w:id="3"/>
            <w:r w:rsidRPr="00AF1FB9">
              <w:rPr>
                <w:rFonts w:asciiTheme="minorHAnsi" w:eastAsia="Avenir" w:hAnsiTheme="minorHAnsi" w:cs="Avenir"/>
                <w:b/>
                <w:bCs/>
                <w:color w:val="33475B"/>
                <w:sz w:val="22"/>
                <w:szCs w:val="22"/>
              </w:rPr>
              <w:t>Introduction</w:t>
            </w:r>
          </w:p>
          <w:p w14:paraId="03D31A1C" w14:textId="05B1692F" w:rsidR="00EE1BFE" w:rsidRPr="00EE1BFE" w:rsidRDefault="00EE1BFE" w:rsidP="00EE1BFE">
            <w:pPr>
              <w:ind w:left="720" w:right="600"/>
              <w:rPr>
                <w:rFonts w:asciiTheme="minorHAnsi" w:eastAsia="Avenir" w:hAnsiTheme="minorHAnsi" w:cs="Avenir"/>
                <w:iCs/>
                <w:color w:val="33475B"/>
                <w:lang w:val="en-CA"/>
              </w:rPr>
            </w:pPr>
            <w:r w:rsidRPr="00EE1BFE">
              <w:rPr>
                <w:rFonts w:asciiTheme="minorHAnsi" w:eastAsia="Avenir" w:hAnsiTheme="minorHAnsi" w:cs="Avenir"/>
                <w:iCs/>
                <w:color w:val="33475B"/>
                <w:lang w:val="en-CA"/>
              </w:rPr>
              <w:t xml:space="preserve">In the competitive landscape of commercial real estate, businesses face numerous financial management challenges that can impact their success. Discover how partnering with </w:t>
            </w:r>
            <w:r>
              <w:rPr>
                <w:rFonts w:asciiTheme="minorHAnsi" w:eastAsia="Avenir" w:hAnsiTheme="minorHAnsi" w:cs="Avenir"/>
                <w:iCs/>
                <w:color w:val="33475B"/>
                <w:lang w:val="en-CA"/>
              </w:rPr>
              <w:t>Ambient Systems</w:t>
            </w:r>
            <w:r w:rsidRPr="00EE1BFE">
              <w:rPr>
                <w:rFonts w:asciiTheme="minorHAnsi" w:eastAsia="Avenir" w:hAnsiTheme="minorHAnsi" w:cs="Avenir"/>
                <w:iCs/>
                <w:color w:val="33475B"/>
                <w:lang w:val="en-CA"/>
              </w:rPr>
              <w:t xml:space="preserve"> can help commercial real estate companies overcome these hurdles and unlock their full financial potential.</w:t>
            </w:r>
          </w:p>
          <w:p w14:paraId="5D1E7196" w14:textId="012BAE87" w:rsidR="001B1A33" w:rsidRPr="00B516AC" w:rsidRDefault="001B1A33" w:rsidP="00EE1BFE">
            <w:pPr>
              <w:ind w:right="600"/>
              <w:rPr>
                <w:rFonts w:asciiTheme="minorHAnsi" w:eastAsia="Avenir" w:hAnsiTheme="minorHAnsi" w:cs="Avenir"/>
                <w:iCs/>
                <w:color w:val="33475B"/>
                <w:lang w:val="en-CA"/>
              </w:rPr>
            </w:pPr>
          </w:p>
        </w:tc>
      </w:tr>
      <w:tr w:rsidR="001B1A33" w:rsidRPr="00AF1FB9" w14:paraId="742F506F" w14:textId="77777777" w:rsidTr="00BF3B77">
        <w:trPr>
          <w:trHeight w:val="4106"/>
        </w:trPr>
        <w:tc>
          <w:tcPr>
            <w:tcW w:w="6521" w:type="dxa"/>
            <w:gridSpan w:val="2"/>
            <w:tcBorders>
              <w:top w:val="single" w:sz="8" w:space="0" w:color="7FD1DE"/>
              <w:left w:val="single" w:sz="8" w:space="0" w:color="7FD1DE"/>
              <w:bottom w:val="single" w:sz="8" w:space="0" w:color="7FD1DE"/>
              <w:right w:val="single" w:sz="8" w:space="0" w:color="7FD1DE"/>
            </w:tcBorders>
            <w:shd w:val="clear" w:color="auto" w:fill="7FD1DE"/>
            <w:tcMar>
              <w:top w:w="100" w:type="dxa"/>
              <w:left w:w="100" w:type="dxa"/>
              <w:bottom w:w="100" w:type="dxa"/>
              <w:right w:w="100" w:type="dxa"/>
            </w:tcMar>
          </w:tcPr>
          <w:p w14:paraId="1A227268" w14:textId="21825D5D" w:rsidR="001B1A33" w:rsidRPr="00AF1FB9" w:rsidRDefault="000D5149" w:rsidP="002F12C7">
            <w:pPr>
              <w:pStyle w:val="Heading2"/>
              <w:ind w:left="720"/>
              <w:rPr>
                <w:rFonts w:asciiTheme="minorHAnsi" w:eastAsia="Avenir" w:hAnsiTheme="minorHAnsi" w:cs="Avenir"/>
                <w:b/>
                <w:bCs/>
                <w:color w:val="33475B"/>
                <w:sz w:val="22"/>
                <w:szCs w:val="22"/>
              </w:rPr>
            </w:pPr>
            <w:bookmarkStart w:id="4" w:name="_3dajlo76wrki" w:colFirst="0" w:colLast="0"/>
            <w:bookmarkEnd w:id="4"/>
            <w:r w:rsidRPr="00AF1FB9">
              <w:rPr>
                <w:rFonts w:asciiTheme="minorHAnsi" w:eastAsia="Avenir" w:hAnsiTheme="minorHAnsi" w:cs="Avenir"/>
                <w:b/>
                <w:bCs/>
                <w:color w:val="33475B"/>
                <w:sz w:val="22"/>
                <w:szCs w:val="22"/>
              </w:rPr>
              <w:t xml:space="preserve">The </w:t>
            </w:r>
            <w:r w:rsidR="00EE1BFE">
              <w:rPr>
                <w:rFonts w:asciiTheme="minorHAnsi" w:eastAsia="Avenir" w:hAnsiTheme="minorHAnsi" w:cs="Avenir"/>
                <w:b/>
                <w:bCs/>
                <w:color w:val="33475B"/>
                <w:sz w:val="22"/>
                <w:szCs w:val="22"/>
              </w:rPr>
              <w:t>Industry Challenge: Financial Optimization</w:t>
            </w:r>
          </w:p>
          <w:p w14:paraId="4225AAE8" w14:textId="15A7681D" w:rsidR="001B1A33" w:rsidRPr="00B516AC" w:rsidRDefault="005E0099" w:rsidP="005E0099">
            <w:pPr>
              <w:ind w:left="720"/>
              <w:rPr>
                <w:rFonts w:asciiTheme="minorHAnsi" w:eastAsia="Avenir" w:hAnsiTheme="minorHAnsi" w:cs="Avenir"/>
                <w:iCs/>
                <w:color w:val="33475B"/>
                <w:lang w:val="en-CA"/>
              </w:rPr>
            </w:pPr>
            <w:r w:rsidRPr="005E0099">
              <w:rPr>
                <w:rFonts w:asciiTheme="minorHAnsi" w:eastAsia="Avenir" w:hAnsiTheme="minorHAnsi" w:cs="Avenir"/>
                <w:iCs/>
                <w:color w:val="33475B"/>
                <w:lang w:val="en-CA"/>
              </w:rPr>
              <w:t>Commercial real estate companies often struggle with effectively managing their finances and optimizing the performance of their real estate assets. From complex lease agreements to budgeting and expense control, these challenges can hinder financial growth and profitability.</w:t>
            </w:r>
          </w:p>
        </w:tc>
        <w:tc>
          <w:tcPr>
            <w:tcW w:w="4678" w:type="dxa"/>
            <w:tcBorders>
              <w:top w:val="single" w:sz="8" w:space="0" w:color="7FD1DE"/>
              <w:left w:val="single" w:sz="8" w:space="0" w:color="7FD1DE"/>
              <w:bottom w:val="single" w:sz="8" w:space="0" w:color="7FD1DE"/>
              <w:right w:val="single" w:sz="8" w:space="0" w:color="7FD1DE"/>
            </w:tcBorders>
            <w:shd w:val="clear" w:color="auto" w:fill="7FD1DE"/>
            <w:tcMar>
              <w:top w:w="100" w:type="dxa"/>
              <w:left w:w="100" w:type="dxa"/>
              <w:bottom w:w="100" w:type="dxa"/>
              <w:right w:w="100" w:type="dxa"/>
            </w:tcMar>
          </w:tcPr>
          <w:p w14:paraId="3A1A5E2D" w14:textId="77777777" w:rsidR="001B1A33" w:rsidRPr="00AF1FB9" w:rsidRDefault="001B1A33" w:rsidP="00BF3B77">
            <w:pPr>
              <w:widowControl w:val="0"/>
              <w:pBdr>
                <w:top w:val="nil"/>
                <w:left w:val="nil"/>
                <w:bottom w:val="nil"/>
                <w:right w:val="nil"/>
                <w:between w:val="nil"/>
              </w:pBdr>
              <w:spacing w:line="240" w:lineRule="auto"/>
              <w:jc w:val="center"/>
              <w:rPr>
                <w:rFonts w:asciiTheme="minorHAnsi" w:eastAsia="Avenir" w:hAnsiTheme="minorHAnsi" w:cs="Avenir"/>
                <w:color w:val="33475B"/>
              </w:rPr>
            </w:pPr>
          </w:p>
          <w:p w14:paraId="53AB7834" w14:textId="53671F0C" w:rsidR="001B1A33" w:rsidRPr="00AF1FB9" w:rsidRDefault="000D5149" w:rsidP="00BF3B77">
            <w:pPr>
              <w:widowControl w:val="0"/>
              <w:pBdr>
                <w:top w:val="nil"/>
                <w:left w:val="nil"/>
                <w:bottom w:val="nil"/>
                <w:right w:val="nil"/>
                <w:between w:val="nil"/>
              </w:pBdr>
              <w:spacing w:line="240" w:lineRule="auto"/>
              <w:jc w:val="center"/>
              <w:rPr>
                <w:rFonts w:asciiTheme="minorHAnsi" w:eastAsia="Avenir" w:hAnsiTheme="minorHAnsi" w:cs="Avenir"/>
                <w:color w:val="33475B"/>
              </w:rPr>
            </w:pPr>
            <w:r w:rsidRPr="00AF1FB9">
              <w:rPr>
                <w:rFonts w:asciiTheme="minorHAnsi" w:eastAsia="Avenir" w:hAnsiTheme="minorHAnsi" w:cs="Avenir"/>
                <w:noProof/>
                <w:color w:val="33475B"/>
              </w:rPr>
              <w:drawing>
                <wp:inline distT="114300" distB="114300" distL="114300" distR="114300" wp14:anchorId="6DF74BC0" wp14:editId="76AB4BF9">
                  <wp:extent cx="1584959" cy="2377440"/>
                  <wp:effectExtent l="0" t="0" r="3175" b="0"/>
                  <wp:docPr id="4"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1594089" cy="2391134"/>
                          </a:xfrm>
                          <a:prstGeom prst="rect">
                            <a:avLst/>
                          </a:prstGeom>
                          <a:ln/>
                        </pic:spPr>
                      </pic:pic>
                    </a:graphicData>
                  </a:graphic>
                </wp:inline>
              </w:drawing>
            </w:r>
          </w:p>
        </w:tc>
      </w:tr>
      <w:tr w:rsidR="00190D09" w:rsidRPr="00AF1FB9" w14:paraId="038D0961" w14:textId="77777777" w:rsidTr="00BF3B77">
        <w:trPr>
          <w:trHeight w:val="4266"/>
        </w:trPr>
        <w:tc>
          <w:tcPr>
            <w:tcW w:w="6521" w:type="dxa"/>
            <w:gridSpan w:val="2"/>
            <w:tcBorders>
              <w:top w:val="single" w:sz="8" w:space="0" w:color="7FD1DE"/>
              <w:left w:val="single" w:sz="8" w:space="0" w:color="7FD1DE"/>
              <w:bottom w:val="single" w:sz="8" w:space="0" w:color="7FD1DE"/>
              <w:right w:val="single" w:sz="8" w:space="0" w:color="7FD1DE"/>
            </w:tcBorders>
            <w:shd w:val="clear" w:color="auto" w:fill="E5F5F8"/>
            <w:tcMar>
              <w:top w:w="100" w:type="dxa"/>
              <w:left w:w="100" w:type="dxa"/>
              <w:bottom w:w="100" w:type="dxa"/>
              <w:right w:w="100" w:type="dxa"/>
            </w:tcMar>
            <w:vAlign w:val="center"/>
          </w:tcPr>
          <w:p w14:paraId="05BF939F" w14:textId="6180D1F7" w:rsidR="00190D09" w:rsidRPr="00AF1FB9" w:rsidRDefault="005E0099" w:rsidP="002F12C7">
            <w:pPr>
              <w:pStyle w:val="Heading2"/>
              <w:jc w:val="center"/>
              <w:rPr>
                <w:rFonts w:asciiTheme="minorHAnsi" w:eastAsia="Avenir" w:hAnsiTheme="minorHAnsi" w:cs="Avenir"/>
                <w:b/>
                <w:bCs/>
                <w:color w:val="33475B"/>
                <w:sz w:val="22"/>
                <w:szCs w:val="22"/>
              </w:rPr>
            </w:pPr>
            <w:r>
              <w:rPr>
                <w:rFonts w:asciiTheme="minorHAnsi" w:eastAsia="Avenir" w:hAnsiTheme="minorHAnsi" w:cs="Avenir"/>
                <w:b/>
                <w:bCs/>
                <w:color w:val="33475B"/>
                <w:sz w:val="22"/>
                <w:szCs w:val="22"/>
              </w:rPr>
              <w:t>Why Ambient Systems is the Solution</w:t>
            </w:r>
          </w:p>
        </w:tc>
        <w:tc>
          <w:tcPr>
            <w:tcW w:w="4678" w:type="dxa"/>
            <w:tcBorders>
              <w:top w:val="single" w:sz="8" w:space="0" w:color="7FD1DE"/>
              <w:left w:val="single" w:sz="8" w:space="0" w:color="7FD1DE"/>
              <w:bottom w:val="single" w:sz="8" w:space="0" w:color="7FD1DE"/>
              <w:right w:val="single" w:sz="8" w:space="0" w:color="7FD1DE"/>
            </w:tcBorders>
            <w:shd w:val="clear" w:color="auto" w:fill="E5F5F8"/>
            <w:tcMar>
              <w:top w:w="100" w:type="dxa"/>
              <w:left w:w="100" w:type="dxa"/>
              <w:bottom w:w="100" w:type="dxa"/>
              <w:right w:w="100" w:type="dxa"/>
            </w:tcMar>
            <w:vAlign w:val="center"/>
          </w:tcPr>
          <w:p w14:paraId="218EEFAA" w14:textId="7FD5FF77" w:rsidR="00190D09" w:rsidRPr="005E0099" w:rsidRDefault="005E0099" w:rsidP="002F12C7">
            <w:pPr>
              <w:widowControl w:val="0"/>
              <w:pBdr>
                <w:top w:val="nil"/>
                <w:left w:val="nil"/>
                <w:bottom w:val="nil"/>
                <w:right w:val="nil"/>
                <w:between w:val="nil"/>
              </w:pBdr>
              <w:shd w:val="clear" w:color="auto" w:fill="E5F5F8"/>
              <w:spacing w:line="240" w:lineRule="auto"/>
              <w:rPr>
                <w:rFonts w:asciiTheme="minorHAnsi" w:eastAsia="Avenir" w:hAnsiTheme="minorHAnsi" w:cs="Avenir"/>
                <w:iCs/>
                <w:color w:val="33475B"/>
                <w:lang w:val="en-CA"/>
              </w:rPr>
            </w:pPr>
            <w:r>
              <w:rPr>
                <w:rFonts w:asciiTheme="minorHAnsi" w:eastAsia="Avenir" w:hAnsiTheme="minorHAnsi" w:cs="Avenir"/>
                <w:iCs/>
                <w:color w:val="33475B"/>
                <w:lang w:val="en-CA"/>
              </w:rPr>
              <w:t xml:space="preserve">Ambient Systems </w:t>
            </w:r>
            <w:r w:rsidRPr="005E0099">
              <w:rPr>
                <w:rFonts w:asciiTheme="minorHAnsi" w:eastAsia="Avenir" w:hAnsiTheme="minorHAnsi" w:cs="Avenir"/>
                <w:iCs/>
                <w:color w:val="33475B"/>
                <w:lang w:val="en-CA"/>
              </w:rPr>
              <w:t>understands the unique needs of the commercial real estate industry and has developed a comprehensive financial management solution tailored to address these challenges. Our expertise, industry-specific tools, and proven track record make us the preferred partner for commercial real estate companies seeking financial optimization.</w:t>
            </w:r>
          </w:p>
        </w:tc>
      </w:tr>
    </w:tbl>
    <w:p w14:paraId="562DA197" w14:textId="77777777" w:rsidR="001B1A33" w:rsidRPr="00E81164" w:rsidRDefault="001B1A33">
      <w:pPr>
        <w:rPr>
          <w:rFonts w:asciiTheme="minorHAnsi" w:eastAsia="Avenir" w:hAnsiTheme="minorHAnsi" w:cs="Avenir"/>
          <w:color w:val="33475B"/>
          <w:sz w:val="20"/>
          <w:szCs w:val="20"/>
        </w:rPr>
      </w:pPr>
    </w:p>
    <w:tbl>
      <w:tblPr>
        <w:tblStyle w:val="a0"/>
        <w:tblpPr w:leftFromText="181" w:rightFromText="181" w:vertAnchor="page" w:horzAnchor="page" w:tblpXSpec="center" w:tblpYSpec="center"/>
        <w:tblW w:w="111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82"/>
        <w:gridCol w:w="7316"/>
      </w:tblGrid>
      <w:tr w:rsidR="001B1A33" w:rsidRPr="00E81164" w14:paraId="0133C125" w14:textId="77777777" w:rsidTr="00D374A3">
        <w:trPr>
          <w:trHeight w:val="2311"/>
        </w:trPr>
        <w:tc>
          <w:tcPr>
            <w:tcW w:w="3882" w:type="dxa"/>
            <w:tcBorders>
              <w:top w:val="single" w:sz="8" w:space="0" w:color="E5F5F8"/>
              <w:left w:val="single" w:sz="8" w:space="0" w:color="7FD1DE"/>
              <w:bottom w:val="single" w:sz="8" w:space="0" w:color="E5F5F8"/>
              <w:right w:val="single" w:sz="8" w:space="0" w:color="7FD1DE"/>
            </w:tcBorders>
            <w:shd w:val="clear" w:color="auto" w:fill="7FD1DE"/>
            <w:tcMar>
              <w:top w:w="100" w:type="dxa"/>
              <w:left w:w="100" w:type="dxa"/>
              <w:bottom w:w="100" w:type="dxa"/>
              <w:right w:w="100" w:type="dxa"/>
            </w:tcMar>
          </w:tcPr>
          <w:p w14:paraId="74C15771" w14:textId="0D121878" w:rsidR="001B1A33" w:rsidRPr="00F60DD2" w:rsidRDefault="00D374A3" w:rsidP="002F12C7">
            <w:pPr>
              <w:pStyle w:val="Heading2"/>
              <w:jc w:val="center"/>
              <w:rPr>
                <w:rFonts w:asciiTheme="minorHAnsi" w:eastAsia="Avenir" w:hAnsiTheme="minorHAnsi" w:cs="Avenir"/>
                <w:b/>
                <w:bCs/>
                <w:color w:val="33475B"/>
                <w:sz w:val="20"/>
                <w:szCs w:val="20"/>
              </w:rPr>
            </w:pPr>
            <w:bookmarkStart w:id="5" w:name="_jbwarpwfcv8n" w:colFirst="0" w:colLast="0"/>
            <w:bookmarkStart w:id="6" w:name="_12jit93u3pdu" w:colFirst="0" w:colLast="0"/>
            <w:bookmarkStart w:id="7" w:name="_ul8uo1hlteev" w:colFirst="0" w:colLast="0"/>
            <w:bookmarkStart w:id="8" w:name="_7jermru5xzic" w:colFirst="0" w:colLast="0"/>
            <w:bookmarkEnd w:id="5"/>
            <w:bookmarkEnd w:id="6"/>
            <w:bookmarkEnd w:id="7"/>
            <w:bookmarkEnd w:id="8"/>
            <w:r>
              <w:rPr>
                <w:rFonts w:asciiTheme="minorHAnsi" w:eastAsia="Avenir" w:hAnsiTheme="minorHAnsi" w:cs="Avenir"/>
                <w:b/>
                <w:bCs/>
                <w:color w:val="33475B"/>
                <w:sz w:val="20"/>
                <w:szCs w:val="20"/>
              </w:rPr>
              <w:t>How Ambient Systems Can Help Commercial Real Estate Company</w:t>
            </w:r>
          </w:p>
        </w:tc>
        <w:tc>
          <w:tcPr>
            <w:tcW w:w="7316" w:type="dxa"/>
            <w:tcBorders>
              <w:top w:val="single" w:sz="8" w:space="0" w:color="E5F5F8"/>
              <w:left w:val="single" w:sz="8" w:space="0" w:color="7FD1DE"/>
              <w:bottom w:val="single" w:sz="8" w:space="0" w:color="E5F5F8"/>
              <w:right w:val="single" w:sz="8" w:space="0" w:color="7FD1DE"/>
            </w:tcBorders>
            <w:shd w:val="clear" w:color="auto" w:fill="7FD1DE"/>
            <w:tcMar>
              <w:top w:w="100" w:type="dxa"/>
              <w:left w:w="100" w:type="dxa"/>
              <w:bottom w:w="100" w:type="dxa"/>
              <w:right w:w="100" w:type="dxa"/>
            </w:tcMar>
          </w:tcPr>
          <w:p w14:paraId="3A9CAED7" w14:textId="77777777" w:rsidR="00D374A3" w:rsidRPr="00D374A3" w:rsidRDefault="00D374A3" w:rsidP="00D374A3">
            <w:pPr>
              <w:rPr>
                <w:rFonts w:asciiTheme="minorHAnsi" w:eastAsia="Avenir" w:hAnsiTheme="minorHAnsi" w:cs="Avenir"/>
                <w:iCs/>
                <w:color w:val="33475B"/>
                <w:sz w:val="20"/>
                <w:szCs w:val="20"/>
                <w:lang w:val="en-CA"/>
              </w:rPr>
            </w:pPr>
            <w:r w:rsidRPr="00D374A3">
              <w:rPr>
                <w:rFonts w:asciiTheme="minorHAnsi" w:eastAsia="Avenir" w:hAnsiTheme="minorHAnsi" w:cs="Avenir"/>
                <w:iCs/>
                <w:color w:val="33475B"/>
                <w:sz w:val="20"/>
                <w:szCs w:val="20"/>
                <w:lang w:val="en-CA"/>
              </w:rPr>
              <w:t>By partnering with [Your Company Name], commercial real estate companies gain access to a suite of powerful financial management tools designed to streamline operations and drive financial success. Our solution offers:</w:t>
            </w:r>
          </w:p>
          <w:p w14:paraId="27EC331E" w14:textId="77777777" w:rsidR="00D374A3" w:rsidRPr="00D374A3" w:rsidRDefault="00D374A3" w:rsidP="00D374A3">
            <w:pPr>
              <w:numPr>
                <w:ilvl w:val="0"/>
                <w:numId w:val="5"/>
              </w:numPr>
              <w:rPr>
                <w:rFonts w:asciiTheme="minorHAnsi" w:eastAsia="Avenir" w:hAnsiTheme="minorHAnsi" w:cs="Avenir"/>
                <w:iCs/>
                <w:color w:val="33475B"/>
                <w:sz w:val="20"/>
                <w:szCs w:val="20"/>
                <w:lang w:val="en-CA"/>
              </w:rPr>
            </w:pPr>
            <w:r w:rsidRPr="00D374A3">
              <w:rPr>
                <w:rFonts w:asciiTheme="minorHAnsi" w:eastAsia="Avenir" w:hAnsiTheme="minorHAnsi" w:cs="Avenir"/>
                <w:iCs/>
                <w:color w:val="33475B"/>
                <w:sz w:val="20"/>
                <w:szCs w:val="20"/>
                <w:lang w:val="en-CA"/>
              </w:rPr>
              <w:t>Comprehensive Data Integration: Consolidate and integrate financial data from multiple sources for a holistic view of your real estate portfolio's financial health.</w:t>
            </w:r>
          </w:p>
          <w:p w14:paraId="2B71C48A" w14:textId="77777777" w:rsidR="00D374A3" w:rsidRPr="00D374A3" w:rsidRDefault="00D374A3" w:rsidP="00D374A3">
            <w:pPr>
              <w:numPr>
                <w:ilvl w:val="0"/>
                <w:numId w:val="5"/>
              </w:numPr>
              <w:rPr>
                <w:rFonts w:asciiTheme="minorHAnsi" w:eastAsia="Avenir" w:hAnsiTheme="minorHAnsi" w:cs="Avenir"/>
                <w:iCs/>
                <w:color w:val="33475B"/>
                <w:sz w:val="20"/>
                <w:szCs w:val="20"/>
                <w:lang w:val="en-CA"/>
              </w:rPr>
            </w:pPr>
            <w:r w:rsidRPr="00D374A3">
              <w:rPr>
                <w:rFonts w:asciiTheme="minorHAnsi" w:eastAsia="Avenir" w:hAnsiTheme="minorHAnsi" w:cs="Avenir"/>
                <w:iCs/>
                <w:color w:val="33475B"/>
                <w:sz w:val="20"/>
                <w:szCs w:val="20"/>
                <w:lang w:val="en-CA"/>
              </w:rPr>
              <w:t>Advanced Financial Reporting: Generate accurate and insightful reports that provide a clear understanding of key financial metrics, enabling informed decision-making.</w:t>
            </w:r>
          </w:p>
          <w:p w14:paraId="468DB647" w14:textId="77777777" w:rsidR="00D374A3" w:rsidRPr="00D374A3" w:rsidRDefault="00D374A3" w:rsidP="00D374A3">
            <w:pPr>
              <w:numPr>
                <w:ilvl w:val="0"/>
                <w:numId w:val="5"/>
              </w:numPr>
              <w:rPr>
                <w:rFonts w:asciiTheme="minorHAnsi" w:eastAsia="Avenir" w:hAnsiTheme="minorHAnsi" w:cs="Avenir"/>
                <w:iCs/>
                <w:color w:val="33475B"/>
                <w:sz w:val="20"/>
                <w:szCs w:val="20"/>
                <w:lang w:val="en-CA"/>
              </w:rPr>
            </w:pPr>
            <w:r w:rsidRPr="00D374A3">
              <w:rPr>
                <w:rFonts w:asciiTheme="minorHAnsi" w:eastAsia="Avenir" w:hAnsiTheme="minorHAnsi" w:cs="Avenir"/>
                <w:iCs/>
                <w:color w:val="33475B"/>
                <w:sz w:val="20"/>
                <w:szCs w:val="20"/>
                <w:lang w:val="en-CA"/>
              </w:rPr>
              <w:t>Automated Processes: Automate repetitive financial tasks, such as lease management and expense tracking, to save time and increase efficiency.</w:t>
            </w:r>
          </w:p>
          <w:p w14:paraId="45969AF5" w14:textId="77777777" w:rsidR="00D374A3" w:rsidRPr="00D374A3" w:rsidRDefault="00D374A3" w:rsidP="00D374A3">
            <w:pPr>
              <w:numPr>
                <w:ilvl w:val="0"/>
                <w:numId w:val="5"/>
              </w:numPr>
              <w:rPr>
                <w:rFonts w:asciiTheme="minorHAnsi" w:eastAsia="Avenir" w:hAnsiTheme="minorHAnsi" w:cs="Avenir"/>
                <w:iCs/>
                <w:color w:val="33475B"/>
                <w:sz w:val="20"/>
                <w:szCs w:val="20"/>
                <w:lang w:val="en-CA"/>
              </w:rPr>
            </w:pPr>
            <w:r w:rsidRPr="00D374A3">
              <w:rPr>
                <w:rFonts w:asciiTheme="minorHAnsi" w:eastAsia="Avenir" w:hAnsiTheme="minorHAnsi" w:cs="Avenir"/>
                <w:iCs/>
                <w:color w:val="33475B"/>
                <w:sz w:val="20"/>
                <w:szCs w:val="20"/>
                <w:lang w:val="en-CA"/>
              </w:rPr>
              <w:t>Activity Tracking: Monitor financial activities and transactions in real-time to ensure transparency and accountability across the organization.</w:t>
            </w:r>
          </w:p>
          <w:p w14:paraId="7B943EA2" w14:textId="62486DA1" w:rsidR="001B1A33" w:rsidRPr="00D374A3" w:rsidRDefault="00D374A3" w:rsidP="002F12C7">
            <w:pPr>
              <w:numPr>
                <w:ilvl w:val="0"/>
                <w:numId w:val="5"/>
              </w:numPr>
              <w:rPr>
                <w:rFonts w:asciiTheme="minorHAnsi" w:eastAsia="Avenir" w:hAnsiTheme="minorHAnsi" w:cs="Avenir"/>
                <w:iCs/>
                <w:color w:val="33475B"/>
                <w:sz w:val="20"/>
                <w:szCs w:val="20"/>
                <w:lang w:val="en-CA"/>
              </w:rPr>
            </w:pPr>
            <w:r w:rsidRPr="00D374A3">
              <w:rPr>
                <w:rFonts w:asciiTheme="minorHAnsi" w:eastAsia="Avenir" w:hAnsiTheme="minorHAnsi" w:cs="Avenir"/>
                <w:iCs/>
                <w:color w:val="33475B"/>
                <w:sz w:val="20"/>
                <w:szCs w:val="20"/>
                <w:lang w:val="en-CA"/>
              </w:rPr>
              <w:t>Seamless Data Import/Export: Easily import and export financial data between systems and platforms, ensuring compatibility and data integrity.</w:t>
            </w:r>
          </w:p>
        </w:tc>
      </w:tr>
      <w:tr w:rsidR="001B1A33" w:rsidRPr="00E81164" w14:paraId="682DDBFB" w14:textId="77777777" w:rsidTr="00D374A3">
        <w:trPr>
          <w:trHeight w:val="2737"/>
        </w:trPr>
        <w:tc>
          <w:tcPr>
            <w:tcW w:w="3882" w:type="dxa"/>
            <w:tcBorders>
              <w:top w:val="single" w:sz="8" w:space="0" w:color="E5F5F8"/>
              <w:left w:val="single" w:sz="8" w:space="0" w:color="E5F5F8"/>
              <w:bottom w:val="single" w:sz="8" w:space="0" w:color="E5F5F8"/>
              <w:right w:val="single" w:sz="8" w:space="0" w:color="E5F5F8"/>
            </w:tcBorders>
            <w:shd w:val="clear" w:color="auto" w:fill="E5F5F8"/>
            <w:tcMar>
              <w:top w:w="100" w:type="dxa"/>
              <w:left w:w="100" w:type="dxa"/>
              <w:bottom w:w="100" w:type="dxa"/>
              <w:right w:w="100" w:type="dxa"/>
            </w:tcMar>
            <w:vAlign w:val="center"/>
          </w:tcPr>
          <w:p w14:paraId="4B9A1E40" w14:textId="7AE012F0" w:rsidR="001B1A33" w:rsidRPr="00F60DD2" w:rsidRDefault="005E0099" w:rsidP="00D374A3">
            <w:pPr>
              <w:pStyle w:val="Heading2"/>
              <w:jc w:val="center"/>
              <w:rPr>
                <w:rFonts w:asciiTheme="minorHAnsi" w:eastAsia="Avenir" w:hAnsiTheme="minorHAnsi" w:cs="Avenir"/>
                <w:b/>
                <w:bCs/>
                <w:color w:val="33475B"/>
                <w:sz w:val="20"/>
                <w:szCs w:val="20"/>
              </w:rPr>
            </w:pPr>
            <w:bookmarkStart w:id="9" w:name="_2wn8c6xa22ax" w:colFirst="0" w:colLast="0"/>
            <w:bookmarkStart w:id="10" w:name="_jx9dwtqg1gz6" w:colFirst="0" w:colLast="0"/>
            <w:bookmarkEnd w:id="9"/>
            <w:bookmarkEnd w:id="10"/>
            <w:r>
              <w:rPr>
                <w:rFonts w:asciiTheme="minorHAnsi" w:eastAsia="Avenir" w:hAnsiTheme="minorHAnsi" w:cs="Avenir"/>
                <w:b/>
                <w:bCs/>
                <w:color w:val="33475B"/>
                <w:sz w:val="20"/>
                <w:szCs w:val="20"/>
              </w:rPr>
              <w:t>The Potential Benefits</w:t>
            </w:r>
          </w:p>
        </w:tc>
        <w:tc>
          <w:tcPr>
            <w:tcW w:w="7316" w:type="dxa"/>
            <w:tcBorders>
              <w:top w:val="single" w:sz="8" w:space="0" w:color="E5F5F8"/>
              <w:left w:val="single" w:sz="8" w:space="0" w:color="E5F5F8"/>
              <w:bottom w:val="single" w:sz="8" w:space="0" w:color="E5F5F8"/>
              <w:right w:val="single" w:sz="8" w:space="0" w:color="E5F5F8"/>
            </w:tcBorders>
            <w:shd w:val="clear" w:color="auto" w:fill="E5F5F8"/>
            <w:tcMar>
              <w:top w:w="100" w:type="dxa"/>
              <w:left w:w="100" w:type="dxa"/>
              <w:bottom w:w="100" w:type="dxa"/>
              <w:right w:w="100" w:type="dxa"/>
            </w:tcMar>
          </w:tcPr>
          <w:p w14:paraId="78FFA98D" w14:textId="6C8259BC" w:rsidR="005E0099" w:rsidRPr="005E0099" w:rsidRDefault="005E0099" w:rsidP="005E0099">
            <w:pPr>
              <w:rPr>
                <w:rFonts w:asciiTheme="minorHAnsi" w:eastAsia="Avenir" w:hAnsiTheme="minorHAnsi" w:cs="Avenir"/>
                <w:iCs/>
                <w:color w:val="33475B"/>
                <w:sz w:val="20"/>
                <w:szCs w:val="20"/>
                <w:lang w:val="en-CA"/>
              </w:rPr>
            </w:pPr>
            <w:r w:rsidRPr="005E0099">
              <w:rPr>
                <w:rFonts w:asciiTheme="minorHAnsi" w:eastAsia="Avenir" w:hAnsiTheme="minorHAnsi" w:cs="Avenir"/>
                <w:iCs/>
                <w:color w:val="33475B"/>
                <w:sz w:val="20"/>
                <w:szCs w:val="20"/>
                <w:lang w:val="en-CA"/>
              </w:rPr>
              <w:t xml:space="preserve">By leveraging </w:t>
            </w:r>
            <w:r>
              <w:rPr>
                <w:rFonts w:asciiTheme="minorHAnsi" w:eastAsia="Avenir" w:hAnsiTheme="minorHAnsi" w:cs="Avenir"/>
                <w:iCs/>
                <w:color w:val="33475B"/>
                <w:sz w:val="20"/>
                <w:szCs w:val="20"/>
                <w:lang w:val="en-CA"/>
              </w:rPr>
              <w:t>Ambient System</w:t>
            </w:r>
            <w:r w:rsidRPr="005E0099">
              <w:rPr>
                <w:rFonts w:asciiTheme="minorHAnsi" w:eastAsia="Avenir" w:hAnsiTheme="minorHAnsi" w:cs="Avenir"/>
                <w:iCs/>
                <w:color w:val="33475B"/>
                <w:sz w:val="20"/>
                <w:szCs w:val="20"/>
                <w:lang w:val="en-CA"/>
              </w:rPr>
              <w:t>'s financial management solution, commercial real estate companies can experience the following benefits:</w:t>
            </w:r>
          </w:p>
          <w:p w14:paraId="16045A44" w14:textId="77777777" w:rsidR="005E0099" w:rsidRPr="005E0099" w:rsidRDefault="005E0099" w:rsidP="005E0099">
            <w:pPr>
              <w:numPr>
                <w:ilvl w:val="0"/>
                <w:numId w:val="4"/>
              </w:numPr>
              <w:rPr>
                <w:rFonts w:asciiTheme="minorHAnsi" w:eastAsia="Avenir" w:hAnsiTheme="minorHAnsi" w:cs="Avenir"/>
                <w:iCs/>
                <w:color w:val="33475B"/>
                <w:sz w:val="20"/>
                <w:szCs w:val="20"/>
                <w:lang w:val="en-CA"/>
              </w:rPr>
            </w:pPr>
            <w:r w:rsidRPr="005E0099">
              <w:rPr>
                <w:rFonts w:asciiTheme="minorHAnsi" w:eastAsia="Avenir" w:hAnsiTheme="minorHAnsi" w:cs="Avenir"/>
                <w:iCs/>
                <w:color w:val="33475B"/>
                <w:sz w:val="20"/>
                <w:szCs w:val="20"/>
                <w:lang w:val="en-CA"/>
              </w:rPr>
              <w:t>Improved Financial Performance: Optimize budgeting, expense control, and lease management to drive profitability and maximize returns on real estate investments.</w:t>
            </w:r>
          </w:p>
          <w:p w14:paraId="4007937B" w14:textId="77777777" w:rsidR="005E0099" w:rsidRPr="005E0099" w:rsidRDefault="005E0099" w:rsidP="005E0099">
            <w:pPr>
              <w:numPr>
                <w:ilvl w:val="0"/>
                <w:numId w:val="4"/>
              </w:numPr>
              <w:rPr>
                <w:rFonts w:asciiTheme="minorHAnsi" w:eastAsia="Avenir" w:hAnsiTheme="minorHAnsi" w:cs="Avenir"/>
                <w:iCs/>
                <w:color w:val="33475B"/>
                <w:sz w:val="20"/>
                <w:szCs w:val="20"/>
                <w:lang w:val="en-CA"/>
              </w:rPr>
            </w:pPr>
            <w:r w:rsidRPr="005E0099">
              <w:rPr>
                <w:rFonts w:asciiTheme="minorHAnsi" w:eastAsia="Avenir" w:hAnsiTheme="minorHAnsi" w:cs="Avenir"/>
                <w:iCs/>
                <w:color w:val="33475B"/>
                <w:sz w:val="20"/>
                <w:szCs w:val="20"/>
                <w:lang w:val="en-CA"/>
              </w:rPr>
              <w:t>Enhanced Decision-Making: Make data-driven decisions based on accurate financial insights, empowering strategic property acquisitions, leasing strategies, and investment opportunities.</w:t>
            </w:r>
          </w:p>
          <w:p w14:paraId="7DB1B909" w14:textId="77777777" w:rsidR="005E0099" w:rsidRPr="005E0099" w:rsidRDefault="005E0099" w:rsidP="005E0099">
            <w:pPr>
              <w:numPr>
                <w:ilvl w:val="0"/>
                <w:numId w:val="4"/>
              </w:numPr>
              <w:rPr>
                <w:rFonts w:asciiTheme="minorHAnsi" w:eastAsia="Avenir" w:hAnsiTheme="minorHAnsi" w:cs="Avenir"/>
                <w:iCs/>
                <w:color w:val="33475B"/>
                <w:sz w:val="20"/>
                <w:szCs w:val="20"/>
                <w:lang w:val="en-CA"/>
              </w:rPr>
            </w:pPr>
            <w:r w:rsidRPr="005E0099">
              <w:rPr>
                <w:rFonts w:asciiTheme="minorHAnsi" w:eastAsia="Avenir" w:hAnsiTheme="minorHAnsi" w:cs="Avenir"/>
                <w:iCs/>
                <w:color w:val="33475B"/>
                <w:sz w:val="20"/>
                <w:szCs w:val="20"/>
                <w:lang w:val="en-CA"/>
              </w:rPr>
              <w:t>Streamlined Operations: Eliminate manual processes, reduce administrative burdens, and increase efficiency, allowing teams to focus on core business objectives.</w:t>
            </w:r>
          </w:p>
          <w:p w14:paraId="261488EE" w14:textId="77777777" w:rsidR="005E0099" w:rsidRPr="005E0099" w:rsidRDefault="005E0099" w:rsidP="005E0099">
            <w:pPr>
              <w:numPr>
                <w:ilvl w:val="0"/>
                <w:numId w:val="4"/>
              </w:numPr>
              <w:rPr>
                <w:rFonts w:asciiTheme="minorHAnsi" w:eastAsia="Avenir" w:hAnsiTheme="minorHAnsi" w:cs="Avenir"/>
                <w:iCs/>
                <w:color w:val="33475B"/>
                <w:sz w:val="20"/>
                <w:szCs w:val="20"/>
                <w:lang w:val="en-CA"/>
              </w:rPr>
            </w:pPr>
            <w:r w:rsidRPr="005E0099">
              <w:rPr>
                <w:rFonts w:asciiTheme="minorHAnsi" w:eastAsia="Avenir" w:hAnsiTheme="minorHAnsi" w:cs="Avenir"/>
                <w:iCs/>
                <w:color w:val="33475B"/>
                <w:sz w:val="20"/>
                <w:szCs w:val="20"/>
                <w:lang w:val="en-CA"/>
              </w:rPr>
              <w:t>Better Compliance: Ensure regulatory compliance and mitigate financial risks through comprehensive financial controls and auditing capabilities.</w:t>
            </w:r>
          </w:p>
          <w:p w14:paraId="5C9F5933" w14:textId="6A60C14A" w:rsidR="001B1A33" w:rsidRPr="005E0099" w:rsidRDefault="005E0099" w:rsidP="002F12C7">
            <w:pPr>
              <w:numPr>
                <w:ilvl w:val="0"/>
                <w:numId w:val="4"/>
              </w:numPr>
              <w:rPr>
                <w:rFonts w:asciiTheme="minorHAnsi" w:eastAsia="Avenir" w:hAnsiTheme="minorHAnsi" w:cs="Avenir"/>
                <w:iCs/>
                <w:color w:val="33475B"/>
                <w:sz w:val="20"/>
                <w:szCs w:val="20"/>
                <w:lang w:val="en-CA"/>
              </w:rPr>
            </w:pPr>
            <w:r w:rsidRPr="005E0099">
              <w:rPr>
                <w:rFonts w:asciiTheme="minorHAnsi" w:eastAsia="Avenir" w:hAnsiTheme="minorHAnsi" w:cs="Avenir"/>
                <w:iCs/>
                <w:color w:val="33475B"/>
                <w:sz w:val="20"/>
                <w:szCs w:val="20"/>
                <w:lang w:val="en-CA"/>
              </w:rPr>
              <w:t>Competitive Advantage: Gain a competitive edge by leveraging advanced financial management tools and staying ahead of industry trends.</w:t>
            </w:r>
          </w:p>
        </w:tc>
      </w:tr>
      <w:tr w:rsidR="00190D09" w:rsidRPr="00E81164" w14:paraId="424EC534" w14:textId="77777777" w:rsidTr="00D374A3">
        <w:trPr>
          <w:trHeight w:val="421"/>
        </w:trPr>
        <w:tc>
          <w:tcPr>
            <w:tcW w:w="11198" w:type="dxa"/>
            <w:gridSpan w:val="2"/>
            <w:tcBorders>
              <w:top w:val="single" w:sz="8" w:space="0" w:color="E5F5F8"/>
              <w:left w:val="single" w:sz="8" w:space="0" w:color="E5F5F8"/>
              <w:bottom w:val="single" w:sz="8" w:space="0" w:color="E5F5F8"/>
              <w:right w:val="single" w:sz="8" w:space="0" w:color="E5F5F8"/>
            </w:tcBorders>
            <w:shd w:val="clear" w:color="auto" w:fill="7FD1DE"/>
            <w:tcMar>
              <w:top w:w="100" w:type="dxa"/>
              <w:left w:w="100" w:type="dxa"/>
              <w:bottom w:w="100" w:type="dxa"/>
              <w:right w:w="100" w:type="dxa"/>
            </w:tcMar>
            <w:vAlign w:val="center"/>
          </w:tcPr>
          <w:p w14:paraId="1E306992" w14:textId="567B1079" w:rsidR="00190D09" w:rsidRPr="00E81164" w:rsidRDefault="00190D09" w:rsidP="00DD526C">
            <w:pPr>
              <w:pStyle w:val="Heading2"/>
              <w:ind w:left="720"/>
              <w:rPr>
                <w:rFonts w:asciiTheme="minorHAnsi" w:eastAsia="Avenir" w:hAnsiTheme="minorHAnsi" w:cs="Avenir"/>
                <w:color w:val="33475B"/>
                <w:sz w:val="20"/>
                <w:szCs w:val="20"/>
              </w:rPr>
            </w:pPr>
            <w:r w:rsidRPr="00E81164">
              <w:rPr>
                <w:rFonts w:asciiTheme="minorHAnsi" w:eastAsia="Avenir" w:hAnsiTheme="minorHAnsi" w:cs="Avenir"/>
                <w:noProof/>
                <w:color w:val="F5F8FA"/>
                <w:sz w:val="20"/>
                <w:szCs w:val="20"/>
              </w:rPr>
              <w:drawing>
                <wp:inline distT="114300" distB="114300" distL="114300" distR="114300" wp14:anchorId="4A8CDF6A" wp14:editId="1963CE7C">
                  <wp:extent cx="1847850" cy="927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847850" cy="927100"/>
                          </a:xfrm>
                          <a:prstGeom prst="rect">
                            <a:avLst/>
                          </a:prstGeom>
                          <a:ln/>
                        </pic:spPr>
                      </pic:pic>
                    </a:graphicData>
                  </a:graphic>
                </wp:inline>
              </w:drawing>
            </w:r>
            <w:r w:rsidRPr="00E81164">
              <w:rPr>
                <w:rFonts w:asciiTheme="minorHAnsi" w:eastAsia="Avenir" w:hAnsiTheme="minorHAnsi" w:cs="Avenir"/>
                <w:noProof/>
                <w:color w:val="33475B"/>
                <w:sz w:val="20"/>
                <w:szCs w:val="20"/>
              </w:rPr>
              <w:drawing>
                <wp:inline distT="114300" distB="114300" distL="114300" distR="114300" wp14:anchorId="65A26994" wp14:editId="22B9354D">
                  <wp:extent cx="1847850" cy="9271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847850" cy="927100"/>
                          </a:xfrm>
                          <a:prstGeom prst="rect">
                            <a:avLst/>
                          </a:prstGeom>
                          <a:ln/>
                        </pic:spPr>
                      </pic:pic>
                    </a:graphicData>
                  </a:graphic>
                </wp:inline>
              </w:drawing>
            </w:r>
            <w:r w:rsidRPr="00E81164">
              <w:rPr>
                <w:rFonts w:asciiTheme="minorHAnsi" w:eastAsia="Avenir" w:hAnsiTheme="minorHAnsi" w:cs="Avenir"/>
                <w:noProof/>
                <w:color w:val="33475B"/>
                <w:sz w:val="20"/>
                <w:szCs w:val="20"/>
              </w:rPr>
              <w:drawing>
                <wp:inline distT="114300" distB="114300" distL="114300" distR="114300" wp14:anchorId="5D8879FE" wp14:editId="57BCE21C">
                  <wp:extent cx="1847850" cy="9271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847850" cy="927100"/>
                          </a:xfrm>
                          <a:prstGeom prst="rect">
                            <a:avLst/>
                          </a:prstGeom>
                          <a:ln/>
                        </pic:spPr>
                      </pic:pic>
                    </a:graphicData>
                  </a:graphic>
                </wp:inline>
              </w:drawing>
            </w:r>
          </w:p>
        </w:tc>
      </w:tr>
      <w:tr w:rsidR="00190D09" w:rsidRPr="00E81164" w14:paraId="4A1695DB" w14:textId="77777777" w:rsidTr="00820B35">
        <w:trPr>
          <w:trHeight w:val="1764"/>
        </w:trPr>
        <w:tc>
          <w:tcPr>
            <w:tcW w:w="11198" w:type="dxa"/>
            <w:gridSpan w:val="2"/>
            <w:tcBorders>
              <w:top w:val="single" w:sz="8" w:space="0" w:color="E5F5F8"/>
              <w:left w:val="single" w:sz="8" w:space="0" w:color="E5F5F8"/>
              <w:bottom w:val="single" w:sz="8" w:space="0" w:color="E5F5F8"/>
              <w:right w:val="single" w:sz="8" w:space="0" w:color="E5F5F8"/>
            </w:tcBorders>
            <w:shd w:val="clear" w:color="auto" w:fill="33475B"/>
            <w:tcMar>
              <w:top w:w="100" w:type="dxa"/>
              <w:left w:w="100" w:type="dxa"/>
              <w:bottom w:w="100" w:type="dxa"/>
              <w:right w:w="100" w:type="dxa"/>
            </w:tcMar>
          </w:tcPr>
          <w:p w14:paraId="4FCE166C" w14:textId="310411EB" w:rsidR="00190D09" w:rsidRPr="00F60DD2" w:rsidRDefault="00190D09" w:rsidP="002F12C7">
            <w:pPr>
              <w:pStyle w:val="Heading2"/>
              <w:jc w:val="center"/>
              <w:rPr>
                <w:rFonts w:asciiTheme="minorHAnsi" w:eastAsia="Avenir" w:hAnsiTheme="minorHAnsi" w:cs="Avenir"/>
                <w:b/>
                <w:bCs/>
                <w:color w:val="F5F8FA"/>
                <w:sz w:val="20"/>
                <w:szCs w:val="20"/>
              </w:rPr>
            </w:pPr>
            <w:r w:rsidRPr="00F60DD2">
              <w:rPr>
                <w:rFonts w:asciiTheme="minorHAnsi" w:eastAsia="Avenir" w:hAnsiTheme="minorHAnsi" w:cs="Avenir"/>
                <w:b/>
                <w:bCs/>
                <w:color w:val="F5F8FA"/>
                <w:sz w:val="20"/>
                <w:szCs w:val="20"/>
              </w:rPr>
              <w:t>Call-to-Action</w:t>
            </w:r>
          </w:p>
          <w:p w14:paraId="6D03E935" w14:textId="475B4870" w:rsidR="00190D09" w:rsidRPr="00511967" w:rsidRDefault="00820B35" w:rsidP="00820B35">
            <w:pPr>
              <w:jc w:val="center"/>
              <w:rPr>
                <w:rFonts w:asciiTheme="minorHAnsi" w:eastAsia="Avenir" w:hAnsiTheme="minorHAnsi" w:cs="Avenir"/>
                <w:iCs/>
                <w:color w:val="F5F8FA"/>
                <w:sz w:val="20"/>
                <w:szCs w:val="20"/>
                <w:lang w:val="en-CA"/>
              </w:rPr>
            </w:pPr>
            <w:r w:rsidRPr="00820B35">
              <w:rPr>
                <w:rFonts w:asciiTheme="minorHAnsi" w:eastAsia="Avenir" w:hAnsiTheme="minorHAnsi" w:cs="Avenir"/>
                <w:iCs/>
                <w:color w:val="F5F8FA"/>
                <w:sz w:val="20"/>
                <w:szCs w:val="20"/>
                <w:lang w:val="en-CA"/>
              </w:rPr>
              <w:t xml:space="preserve">Unlock the full financial potential of your commercial real estate business. Contact our sales team today to learn more about how </w:t>
            </w:r>
            <w:r w:rsidR="00BF3B77">
              <w:rPr>
                <w:rFonts w:asciiTheme="minorHAnsi" w:eastAsia="Avenir" w:hAnsiTheme="minorHAnsi" w:cs="Avenir"/>
                <w:iCs/>
                <w:color w:val="F5F8FA"/>
                <w:sz w:val="20"/>
                <w:szCs w:val="20"/>
                <w:lang w:val="en-CA"/>
              </w:rPr>
              <w:t>Ambient Systems</w:t>
            </w:r>
            <w:r w:rsidRPr="00820B35">
              <w:rPr>
                <w:rFonts w:asciiTheme="minorHAnsi" w:eastAsia="Avenir" w:hAnsiTheme="minorHAnsi" w:cs="Avenir"/>
                <w:iCs/>
                <w:color w:val="F5F8FA"/>
                <w:sz w:val="20"/>
                <w:szCs w:val="20"/>
                <w:lang w:val="en-CA"/>
              </w:rPr>
              <w:t xml:space="preserve"> can empower your organization with our industry-leading financial management solutions.</w:t>
            </w:r>
          </w:p>
        </w:tc>
      </w:tr>
    </w:tbl>
    <w:p w14:paraId="703C3821" w14:textId="77777777" w:rsidR="001B1A33" w:rsidRPr="00E81164" w:rsidRDefault="001B1A33">
      <w:pPr>
        <w:rPr>
          <w:rFonts w:asciiTheme="minorHAnsi" w:eastAsia="Avenir" w:hAnsiTheme="minorHAnsi" w:cs="Avenir"/>
          <w:color w:val="33475B"/>
          <w:sz w:val="20"/>
          <w:szCs w:val="20"/>
        </w:rPr>
      </w:pPr>
      <w:bookmarkStart w:id="11" w:name="_j69m1rm3nd9w" w:colFirst="0" w:colLast="0"/>
      <w:bookmarkEnd w:id="11"/>
    </w:p>
    <w:sectPr w:rsidR="001B1A33" w:rsidRPr="00E81164" w:rsidSect="00245703">
      <w:pgSz w:w="12240" w:h="15840"/>
      <w:pgMar w:top="357" w:right="720" w:bottom="799" w:left="720" w:header="720" w:footer="720" w:gutter="0"/>
      <w:pgBorders w:offsetFrom="page">
        <w:top w:val="single" w:sz="18" w:space="24" w:color="1F497D" w:themeColor="text2"/>
        <w:left w:val="single" w:sz="18" w:space="24" w:color="1F497D" w:themeColor="text2"/>
        <w:bottom w:val="single" w:sz="18" w:space="24" w:color="1F497D" w:themeColor="text2"/>
        <w:right w:val="single" w:sz="18" w:space="24" w:color="1F497D" w:themeColor="text2"/>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DE53B" w14:textId="77777777" w:rsidR="00607E9E" w:rsidRDefault="00607E9E" w:rsidP="00906D63">
      <w:pPr>
        <w:spacing w:line="240" w:lineRule="auto"/>
      </w:pPr>
      <w:r>
        <w:separator/>
      </w:r>
    </w:p>
  </w:endnote>
  <w:endnote w:type="continuationSeparator" w:id="0">
    <w:p w14:paraId="5E9D7AE0" w14:textId="77777777" w:rsidR="00607E9E" w:rsidRDefault="00607E9E" w:rsidP="00906D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venir">
    <w:panose1 w:val="02000503020000020003"/>
    <w:charset w:val="00"/>
    <w:family w:val="auto"/>
    <w:pitch w:val="variable"/>
    <w:sig w:usb0="800000A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1DCA3" w14:textId="77777777" w:rsidR="00607E9E" w:rsidRDefault="00607E9E" w:rsidP="00906D63">
      <w:pPr>
        <w:spacing w:line="240" w:lineRule="auto"/>
      </w:pPr>
      <w:r>
        <w:separator/>
      </w:r>
    </w:p>
  </w:footnote>
  <w:footnote w:type="continuationSeparator" w:id="0">
    <w:p w14:paraId="62AB20F2" w14:textId="77777777" w:rsidR="00607E9E" w:rsidRDefault="00607E9E" w:rsidP="00906D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56012"/>
    <w:multiLevelType w:val="multilevel"/>
    <w:tmpl w:val="DB04E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B92EBB"/>
    <w:multiLevelType w:val="multilevel"/>
    <w:tmpl w:val="ED4C45C8"/>
    <w:lvl w:ilvl="0">
      <w:start w:val="1"/>
      <w:numFmt w:val="bullet"/>
      <w:lvlText w:val="●"/>
      <w:lvlJc w:val="left"/>
      <w:pPr>
        <w:ind w:left="720" w:firstLine="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150DA3"/>
    <w:multiLevelType w:val="multilevel"/>
    <w:tmpl w:val="A55E70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7C826231"/>
    <w:multiLevelType w:val="multilevel"/>
    <w:tmpl w:val="5CB4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AE527C"/>
    <w:multiLevelType w:val="multilevel"/>
    <w:tmpl w:val="3E7A1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1174206">
    <w:abstractNumId w:val="1"/>
  </w:num>
  <w:num w:numId="2" w16cid:durableId="662243465">
    <w:abstractNumId w:val="2"/>
  </w:num>
  <w:num w:numId="3" w16cid:durableId="[redacted]">
    <w:abstractNumId w:val="4"/>
  </w:num>
  <w:num w:numId="4" w16cid:durableId="1235166946">
    <w:abstractNumId w:val="3"/>
  </w:num>
  <w:num w:numId="5" w16cid:durableId="1995602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gutterAtTop/>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A33"/>
    <w:rsid w:val="00023CE4"/>
    <w:rsid w:val="00062626"/>
    <w:rsid w:val="000B32C7"/>
    <w:rsid w:val="000D5149"/>
    <w:rsid w:val="000E048B"/>
    <w:rsid w:val="001359AD"/>
    <w:rsid w:val="00161263"/>
    <w:rsid w:val="001700CF"/>
    <w:rsid w:val="00190D09"/>
    <w:rsid w:val="001B1A33"/>
    <w:rsid w:val="00210325"/>
    <w:rsid w:val="00245703"/>
    <w:rsid w:val="002D2CB4"/>
    <w:rsid w:val="002F12C7"/>
    <w:rsid w:val="002F388B"/>
    <w:rsid w:val="00305169"/>
    <w:rsid w:val="003303E6"/>
    <w:rsid w:val="003C3240"/>
    <w:rsid w:val="00404374"/>
    <w:rsid w:val="00421895"/>
    <w:rsid w:val="00437C36"/>
    <w:rsid w:val="00441488"/>
    <w:rsid w:val="00511967"/>
    <w:rsid w:val="00563DD1"/>
    <w:rsid w:val="005804D7"/>
    <w:rsid w:val="005853CA"/>
    <w:rsid w:val="0059287D"/>
    <w:rsid w:val="005B5A95"/>
    <w:rsid w:val="005C11CB"/>
    <w:rsid w:val="005E0099"/>
    <w:rsid w:val="00607E9E"/>
    <w:rsid w:val="00610D0D"/>
    <w:rsid w:val="006122BB"/>
    <w:rsid w:val="00674D59"/>
    <w:rsid w:val="006A2105"/>
    <w:rsid w:val="006C38EF"/>
    <w:rsid w:val="00703756"/>
    <w:rsid w:val="00740F1A"/>
    <w:rsid w:val="00753488"/>
    <w:rsid w:val="007A58A4"/>
    <w:rsid w:val="007D1D6C"/>
    <w:rsid w:val="00820B35"/>
    <w:rsid w:val="00847404"/>
    <w:rsid w:val="00870998"/>
    <w:rsid w:val="00886525"/>
    <w:rsid w:val="008A6584"/>
    <w:rsid w:val="008B6487"/>
    <w:rsid w:val="008B7600"/>
    <w:rsid w:val="008D6936"/>
    <w:rsid w:val="00906D63"/>
    <w:rsid w:val="00933451"/>
    <w:rsid w:val="009C0EAA"/>
    <w:rsid w:val="00A458D5"/>
    <w:rsid w:val="00AB1F4F"/>
    <w:rsid w:val="00AF1FB9"/>
    <w:rsid w:val="00B516AC"/>
    <w:rsid w:val="00BB6AE7"/>
    <w:rsid w:val="00BF3B77"/>
    <w:rsid w:val="00C001F3"/>
    <w:rsid w:val="00C123EC"/>
    <w:rsid w:val="00C45227"/>
    <w:rsid w:val="00CF07A6"/>
    <w:rsid w:val="00D374A3"/>
    <w:rsid w:val="00D71115"/>
    <w:rsid w:val="00D7766E"/>
    <w:rsid w:val="00DB4A9A"/>
    <w:rsid w:val="00DB7C16"/>
    <w:rsid w:val="00DD526C"/>
    <w:rsid w:val="00DE156E"/>
    <w:rsid w:val="00E26703"/>
    <w:rsid w:val="00E81164"/>
    <w:rsid w:val="00E83E95"/>
    <w:rsid w:val="00EE1BFE"/>
    <w:rsid w:val="00F60DD2"/>
    <w:rsid w:val="00FF6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D880A"/>
  <w15:docId w15:val="{215782B0-108B-114C-9E90-C7D7DDECF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06D63"/>
    <w:pPr>
      <w:tabs>
        <w:tab w:val="center" w:pos="4680"/>
        <w:tab w:val="right" w:pos="9360"/>
      </w:tabs>
      <w:spacing w:line="240" w:lineRule="auto"/>
    </w:pPr>
  </w:style>
  <w:style w:type="character" w:customStyle="1" w:styleId="HeaderChar">
    <w:name w:val="Header Char"/>
    <w:basedOn w:val="DefaultParagraphFont"/>
    <w:link w:val="Header"/>
    <w:uiPriority w:val="99"/>
    <w:rsid w:val="00906D63"/>
  </w:style>
  <w:style w:type="paragraph" w:styleId="Footer">
    <w:name w:val="footer"/>
    <w:basedOn w:val="Normal"/>
    <w:link w:val="FooterChar"/>
    <w:uiPriority w:val="99"/>
    <w:unhideWhenUsed/>
    <w:rsid w:val="00906D63"/>
    <w:pPr>
      <w:tabs>
        <w:tab w:val="center" w:pos="4680"/>
        <w:tab w:val="right" w:pos="9360"/>
      </w:tabs>
      <w:spacing w:line="240" w:lineRule="auto"/>
    </w:pPr>
  </w:style>
  <w:style w:type="character" w:customStyle="1" w:styleId="FooterChar">
    <w:name w:val="Footer Char"/>
    <w:basedOn w:val="DefaultParagraphFont"/>
    <w:link w:val="Footer"/>
    <w:uiPriority w:val="99"/>
    <w:rsid w:val="00906D63"/>
  </w:style>
  <w:style w:type="character" w:customStyle="1" w:styleId="Heading2Char">
    <w:name w:val="Heading 2 Char"/>
    <w:basedOn w:val="DefaultParagraphFont"/>
    <w:link w:val="Heading2"/>
    <w:uiPriority w:val="9"/>
    <w:rsid w:val="00190D09"/>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47632">
      <w:bodyDiv w:val="1"/>
      <w:marLeft w:val="0"/>
      <w:marRight w:val="0"/>
      <w:marTop w:val="0"/>
      <w:marBottom w:val="0"/>
      <w:divBdr>
        <w:top w:val="none" w:sz="0" w:space="0" w:color="auto"/>
        <w:left w:val="none" w:sz="0" w:space="0" w:color="auto"/>
        <w:bottom w:val="none" w:sz="0" w:space="0" w:color="auto"/>
        <w:right w:val="none" w:sz="0" w:space="0" w:color="auto"/>
      </w:divBdr>
    </w:div>
    <w:div w:id="355735757">
      <w:bodyDiv w:val="1"/>
      <w:marLeft w:val="0"/>
      <w:marRight w:val="0"/>
      <w:marTop w:val="0"/>
      <w:marBottom w:val="0"/>
      <w:divBdr>
        <w:top w:val="none" w:sz="0" w:space="0" w:color="auto"/>
        <w:left w:val="none" w:sz="0" w:space="0" w:color="auto"/>
        <w:bottom w:val="none" w:sz="0" w:space="0" w:color="auto"/>
        <w:right w:val="none" w:sz="0" w:space="0" w:color="auto"/>
      </w:divBdr>
    </w:div>
    <w:div w:id="602110150">
      <w:bodyDiv w:val="1"/>
      <w:marLeft w:val="0"/>
      <w:marRight w:val="0"/>
      <w:marTop w:val="0"/>
      <w:marBottom w:val="0"/>
      <w:divBdr>
        <w:top w:val="none" w:sz="0" w:space="0" w:color="auto"/>
        <w:left w:val="none" w:sz="0" w:space="0" w:color="auto"/>
        <w:bottom w:val="none" w:sz="0" w:space="0" w:color="auto"/>
        <w:right w:val="none" w:sz="0" w:space="0" w:color="auto"/>
      </w:divBdr>
    </w:div>
    <w:div w:id="743190055">
      <w:bodyDiv w:val="1"/>
      <w:marLeft w:val="0"/>
      <w:marRight w:val="0"/>
      <w:marTop w:val="0"/>
      <w:marBottom w:val="0"/>
      <w:divBdr>
        <w:top w:val="none" w:sz="0" w:space="0" w:color="auto"/>
        <w:left w:val="none" w:sz="0" w:space="0" w:color="auto"/>
        <w:bottom w:val="none" w:sz="0" w:space="0" w:color="auto"/>
        <w:right w:val="none" w:sz="0" w:space="0" w:color="auto"/>
      </w:divBdr>
    </w:div>
    <w:div w:id="788859291">
      <w:bodyDiv w:val="1"/>
      <w:marLeft w:val="0"/>
      <w:marRight w:val="0"/>
      <w:marTop w:val="0"/>
      <w:marBottom w:val="0"/>
      <w:divBdr>
        <w:top w:val="none" w:sz="0" w:space="0" w:color="auto"/>
        <w:left w:val="none" w:sz="0" w:space="0" w:color="auto"/>
        <w:bottom w:val="none" w:sz="0" w:space="0" w:color="auto"/>
        <w:right w:val="none" w:sz="0" w:space="0" w:color="auto"/>
      </w:divBdr>
    </w:div>
    <w:div w:id="808984604">
      <w:bodyDiv w:val="1"/>
      <w:marLeft w:val="0"/>
      <w:marRight w:val="0"/>
      <w:marTop w:val="0"/>
      <w:marBottom w:val="0"/>
      <w:divBdr>
        <w:top w:val="none" w:sz="0" w:space="0" w:color="auto"/>
        <w:left w:val="none" w:sz="0" w:space="0" w:color="auto"/>
        <w:bottom w:val="none" w:sz="0" w:space="0" w:color="auto"/>
        <w:right w:val="none" w:sz="0" w:space="0" w:color="auto"/>
      </w:divBdr>
    </w:div>
    <w:div w:id="941719500">
      <w:bodyDiv w:val="1"/>
      <w:marLeft w:val="0"/>
      <w:marRight w:val="0"/>
      <w:marTop w:val="0"/>
      <w:marBottom w:val="0"/>
      <w:divBdr>
        <w:top w:val="none" w:sz="0" w:space="0" w:color="auto"/>
        <w:left w:val="none" w:sz="0" w:space="0" w:color="auto"/>
        <w:bottom w:val="none" w:sz="0" w:space="0" w:color="auto"/>
        <w:right w:val="none" w:sz="0" w:space="0" w:color="auto"/>
      </w:divBdr>
    </w:div>
    <w:div w:id="1100636668">
      <w:bodyDiv w:val="1"/>
      <w:marLeft w:val="0"/>
      <w:marRight w:val="0"/>
      <w:marTop w:val="0"/>
      <w:marBottom w:val="0"/>
      <w:divBdr>
        <w:top w:val="none" w:sz="0" w:space="0" w:color="auto"/>
        <w:left w:val="none" w:sz="0" w:space="0" w:color="auto"/>
        <w:bottom w:val="none" w:sz="0" w:space="0" w:color="auto"/>
        <w:right w:val="none" w:sz="0" w:space="0" w:color="auto"/>
      </w:divBdr>
    </w:div>
    <w:div w:id="1159619635">
      <w:bodyDiv w:val="1"/>
      <w:marLeft w:val="0"/>
      <w:marRight w:val="0"/>
      <w:marTop w:val="0"/>
      <w:marBottom w:val="0"/>
      <w:divBdr>
        <w:top w:val="none" w:sz="0" w:space="0" w:color="auto"/>
        <w:left w:val="none" w:sz="0" w:space="0" w:color="auto"/>
        <w:bottom w:val="none" w:sz="0" w:space="0" w:color="auto"/>
        <w:right w:val="none" w:sz="0" w:space="0" w:color="auto"/>
      </w:divBdr>
    </w:div>
    <w:div w:id="1262372712">
      <w:bodyDiv w:val="1"/>
      <w:marLeft w:val="0"/>
      <w:marRight w:val="0"/>
      <w:marTop w:val="0"/>
      <w:marBottom w:val="0"/>
      <w:divBdr>
        <w:top w:val="none" w:sz="0" w:space="0" w:color="auto"/>
        <w:left w:val="none" w:sz="0" w:space="0" w:color="auto"/>
        <w:bottom w:val="none" w:sz="0" w:space="0" w:color="auto"/>
        <w:right w:val="none" w:sz="0" w:space="0" w:color="auto"/>
      </w:divBdr>
    </w:div>
    <w:div w:id="1287351281">
      <w:bodyDiv w:val="1"/>
      <w:marLeft w:val="0"/>
      <w:marRight w:val="0"/>
      <w:marTop w:val="0"/>
      <w:marBottom w:val="0"/>
      <w:divBdr>
        <w:top w:val="none" w:sz="0" w:space="0" w:color="auto"/>
        <w:left w:val="none" w:sz="0" w:space="0" w:color="auto"/>
        <w:bottom w:val="none" w:sz="0" w:space="0" w:color="auto"/>
        <w:right w:val="none" w:sz="0" w:space="0" w:color="auto"/>
      </w:divBdr>
    </w:div>
    <w:div w:id="1377125720">
      <w:bodyDiv w:val="1"/>
      <w:marLeft w:val="0"/>
      <w:marRight w:val="0"/>
      <w:marTop w:val="0"/>
      <w:marBottom w:val="0"/>
      <w:divBdr>
        <w:top w:val="none" w:sz="0" w:space="0" w:color="auto"/>
        <w:left w:val="none" w:sz="0" w:space="0" w:color="auto"/>
        <w:bottom w:val="none" w:sz="0" w:space="0" w:color="auto"/>
        <w:right w:val="none" w:sz="0" w:space="0" w:color="auto"/>
      </w:divBdr>
    </w:div>
    <w:div w:id="1732341213">
      <w:bodyDiv w:val="1"/>
      <w:marLeft w:val="0"/>
      <w:marRight w:val="0"/>
      <w:marTop w:val="0"/>
      <w:marBottom w:val="0"/>
      <w:divBdr>
        <w:top w:val="none" w:sz="0" w:space="0" w:color="auto"/>
        <w:left w:val="none" w:sz="0" w:space="0" w:color="auto"/>
        <w:bottom w:val="none" w:sz="0" w:space="0" w:color="auto"/>
        <w:right w:val="none" w:sz="0" w:space="0" w:color="auto"/>
      </w:divBdr>
    </w:div>
    <w:div w:id="1970043221">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D57C6-4DE9-2C46-A63D-323C63720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539</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8</ns0:revision>
  <ns1:created xsi:type="dcterms:W3CDTF">2023-05-31T12:27:00Z</ns1:created>
  <ns1:modified xsi:type="dcterms:W3CDTF">2023-05-31T15:54:00Z</ns1:modified>
</ns0:coreProperties>
</file>