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bookmarkStart w:id="0" w:name="_GoBack"/>
      <w:bookmarkEnd w:id="0"/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Ind w:w="93" w:type="dxa"/>
        <w:tblLook w:val="04A0"/>
      </w:tblPr>
      <w:tblGrid>
        <w:gridCol w:w="2476"/>
        <w:gridCol w:w="1350"/>
      </w:tblGrid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663A86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663A86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663A86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663A86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663A86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663A86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0E22B2" w:rsidRDefault="000E22B2" w:rsidP="000E22B2">
      <w:pPr>
        <w:autoSpaceDE w:val="0"/>
        <w:autoSpaceDN w:val="0"/>
        <w:adjustRightInd w:val="0"/>
        <w:spacing w:after="0"/>
      </w:pPr>
    </w:p>
    <w:p w:rsidR="00663A86" w:rsidRDefault="00663A86" w:rsidP="00663A86">
      <w:pPr>
        <w:rPr>
          <w:rFonts w:ascii="Calibri" w:eastAsia="Times New Roman" w:hAnsi="Calibri" w:cs="Calibri"/>
          <w:color w:val="000000"/>
        </w:rPr>
      </w:pPr>
      <w:proofErr w:type="spellStart"/>
      <w:r>
        <w:rPr>
          <w:rFonts w:cstheme="minorHAnsi"/>
        </w:rPr>
        <w:t>Ans</w:t>
      </w:r>
      <w:proofErr w:type="spellEnd"/>
      <w:r>
        <w:rPr>
          <w:rFonts w:cstheme="minorHAnsi"/>
        </w:rPr>
        <w:t>: µ=</w:t>
      </w:r>
      <w:r w:rsidRPr="00663A86">
        <w:rPr>
          <w:rFonts w:ascii="Calibri" w:eastAsia="Times New Roman" w:hAnsi="Calibri" w:cs="Calibri"/>
          <w:color w:val="000000"/>
        </w:rPr>
        <w:t>33.27%</w:t>
      </w:r>
    </w:p>
    <w:p w:rsidR="000E22B2" w:rsidRPr="00663A86" w:rsidRDefault="00663A86" w:rsidP="00663A86">
      <w:pPr>
        <w:rPr>
          <w:rFonts w:ascii="Calibri" w:eastAsia="Times New Roman" w:hAnsi="Calibri" w:cs="Calibri"/>
          <w:color w:val="000000"/>
        </w:rPr>
      </w:pPr>
      <w:r>
        <w:rPr>
          <w:rFonts w:cstheme="minorHAnsi"/>
        </w:rPr>
        <w:t>σ</w:t>
      </w:r>
      <w:r>
        <w:t>= 0.169454</w:t>
      </w:r>
    </w:p>
    <w:p w:rsidR="00663A86" w:rsidRPr="00663A86" w:rsidRDefault="00663A86" w:rsidP="000E22B2">
      <w:pPr>
        <w:autoSpaceDE w:val="0"/>
        <w:autoSpaceDN w:val="0"/>
        <w:adjustRightInd w:val="0"/>
        <w:spacing w:after="0"/>
      </w:pPr>
      <w:r>
        <w:rPr>
          <w:rFonts w:cstheme="minorHAnsi"/>
        </w:rPr>
        <w:t>σ</w:t>
      </w:r>
      <w:r>
        <w:rPr>
          <w:vertAlign w:val="superscript"/>
        </w:rPr>
        <w:t>2</w:t>
      </w:r>
      <w:r>
        <w:t>=0.028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663A86" w:rsidP="000E22B2">
      <w:pPr>
        <w:pStyle w:val="ListParagraph"/>
        <w:autoSpaceDE w:val="0"/>
        <w:autoSpaceDN w:val="0"/>
        <w:adjustRightInd w:val="0"/>
        <w:spacing w:after="0"/>
      </w:pPr>
      <w:r>
        <w:rPr>
          <w:noProof/>
        </w:rPr>
        <w:drawing>
          <wp:inline distT="0" distB="0" distL="0" distR="0">
            <wp:extent cx="4356100" cy="2933065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100" cy="2933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663A86" w:rsidP="000E22B2">
      <w:pPr>
        <w:pStyle w:val="ListParagraph"/>
        <w:autoSpaceDE w:val="0"/>
        <w:autoSpaceDN w:val="0"/>
        <w:adjustRightInd w:val="0"/>
        <w:spacing w:after="0"/>
      </w:pPr>
      <w:r>
        <w:lastRenderedPageBreak/>
        <w:t xml:space="preserve">Box plot: </w:t>
      </w:r>
      <w:r w:rsidRPr="00663A86">
        <w:rPr>
          <w:noProof/>
          <w:color w:val="FF0000"/>
        </w:rPr>
        <w:drawing>
          <wp:inline distT="0" distB="0" distL="0" distR="0">
            <wp:extent cx="4468495" cy="3148330"/>
            <wp:effectExtent l="1905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495" cy="3148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663A86">
      <w:pPr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 xml:space="preserve">What can we say about the </w:t>
      </w:r>
      <w:proofErr w:type="spellStart"/>
      <w:r>
        <w:t>skewness</w:t>
      </w:r>
      <w:proofErr w:type="spellEnd"/>
      <w:r>
        <w:t xml:space="preserve"> of this dataset?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 xml:space="preserve">If it was found that the data point with the value 25 is actually 2.5, how would the new box-plot </w:t>
      </w:r>
      <w:proofErr w:type="gramStart"/>
      <w:r>
        <w:t>be</w:t>
      </w:r>
      <w:proofErr w:type="gramEnd"/>
      <w:r>
        <w:t xml:space="preserve"> affected?</w:t>
      </w:r>
    </w:p>
    <w:p w:rsidR="00663A86" w:rsidRDefault="00663A86" w:rsidP="00663A86">
      <w:pPr>
        <w:autoSpaceDE w:val="0"/>
        <w:autoSpaceDN w:val="0"/>
        <w:adjustRightInd w:val="0"/>
        <w:spacing w:after="0"/>
      </w:pPr>
    </w:p>
    <w:p w:rsidR="00663A86" w:rsidRDefault="00663A86" w:rsidP="00663A86">
      <w:pPr>
        <w:autoSpaceDE w:val="0"/>
        <w:autoSpaceDN w:val="0"/>
        <w:adjustRightInd w:val="0"/>
        <w:spacing w:after="0"/>
      </w:pPr>
      <w:proofErr w:type="spellStart"/>
      <w:r>
        <w:t>Ans</w:t>
      </w:r>
      <w:proofErr w:type="spellEnd"/>
      <w:r>
        <w:t xml:space="preserve">= </w:t>
      </w:r>
      <w:proofErr w:type="spellStart"/>
      <w:r>
        <w:t>i</w:t>
      </w:r>
      <w:proofErr w:type="spellEnd"/>
      <w:r>
        <w:t>) Approx Q1=5, Q3= 12, Q2=7, so IQR=Q3-Q1=12-5=7</w:t>
      </w:r>
    </w:p>
    <w:p w:rsidR="00663A86" w:rsidRDefault="00663A86" w:rsidP="00663A86">
      <w:pPr>
        <w:autoSpaceDE w:val="0"/>
        <w:autoSpaceDN w:val="0"/>
        <w:adjustRightInd w:val="0"/>
        <w:spacing w:after="0"/>
      </w:pPr>
      <w:r>
        <w:t>IQR=7 and Q2=7, so it can be said that IQR=Q2</w:t>
      </w:r>
    </w:p>
    <w:p w:rsidR="00663A86" w:rsidRDefault="00663A86" w:rsidP="00663A86">
      <w:pPr>
        <w:autoSpaceDE w:val="0"/>
        <w:autoSpaceDN w:val="0"/>
        <w:adjustRightInd w:val="0"/>
        <w:spacing w:after="0"/>
      </w:pPr>
    </w:p>
    <w:p w:rsidR="00663A86" w:rsidRDefault="00663A86" w:rsidP="00663A86">
      <w:pPr>
        <w:autoSpaceDE w:val="0"/>
        <w:autoSpaceDN w:val="0"/>
        <w:adjustRightInd w:val="0"/>
        <w:spacing w:after="0"/>
      </w:pPr>
      <w:r>
        <w:t>ii) Right-Skewed and it is not normal distribution</w:t>
      </w:r>
    </w:p>
    <w:p w:rsidR="00663A86" w:rsidRDefault="00663A86" w:rsidP="00663A86">
      <w:pPr>
        <w:autoSpaceDE w:val="0"/>
        <w:autoSpaceDN w:val="0"/>
        <w:adjustRightInd w:val="0"/>
        <w:spacing w:after="0"/>
      </w:pPr>
      <w:r>
        <w:lastRenderedPageBreak/>
        <w:t>iii) There will be no outlier. Because of outlier it had +</w:t>
      </w:r>
      <w:proofErr w:type="spellStart"/>
      <w:r>
        <w:t>ve</w:t>
      </w:r>
      <w:proofErr w:type="spellEnd"/>
      <w:r>
        <w:t xml:space="preserve"> </w:t>
      </w:r>
      <w:proofErr w:type="spellStart"/>
      <w:r>
        <w:t>skewness</w:t>
      </w:r>
      <w:proofErr w:type="spellEnd"/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 xml:space="preserve">omment on the </w:t>
      </w:r>
      <w:proofErr w:type="spellStart"/>
      <w:r w:rsidRPr="0037002C">
        <w:t>skewness</w:t>
      </w:r>
      <w:proofErr w:type="spellEnd"/>
      <w:r>
        <w:t xml:space="preserve"> of the dataset.</w:t>
      </w:r>
      <w:r>
        <w:tab/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:rsidR="000E22B2" w:rsidRDefault="00663A86" w:rsidP="000E22B2">
      <w:pPr>
        <w:tabs>
          <w:tab w:val="left" w:pos="540"/>
        </w:tabs>
        <w:autoSpaceDE w:val="0"/>
        <w:autoSpaceDN w:val="0"/>
        <w:adjustRightInd w:val="0"/>
        <w:spacing w:after="0"/>
      </w:pPr>
      <w:proofErr w:type="spellStart"/>
      <w:r>
        <w:t>Ans</w:t>
      </w:r>
      <w:proofErr w:type="spellEnd"/>
      <w:r>
        <w:t xml:space="preserve">= </w:t>
      </w:r>
      <w:proofErr w:type="spellStart"/>
      <w:r>
        <w:t>i</w:t>
      </w:r>
      <w:proofErr w:type="spellEnd"/>
      <w:r>
        <w:t>) Between 5 to 10</w:t>
      </w:r>
    </w:p>
    <w:p w:rsidR="00663A86" w:rsidRDefault="00663A86" w:rsidP="000E22B2">
      <w:pPr>
        <w:tabs>
          <w:tab w:val="left" w:pos="540"/>
        </w:tabs>
        <w:autoSpaceDE w:val="0"/>
        <w:autoSpaceDN w:val="0"/>
        <w:adjustRightInd w:val="0"/>
        <w:spacing w:after="0"/>
      </w:pPr>
      <w:r>
        <w:t>ii</w:t>
      </w:r>
      <w:proofErr w:type="gramStart"/>
      <w:r>
        <w:t>)Right</w:t>
      </w:r>
      <w:proofErr w:type="gramEnd"/>
      <w:r>
        <w:t xml:space="preserve"> skewed</w:t>
      </w:r>
    </w:p>
    <w:p w:rsidR="00663A86" w:rsidRDefault="00663A86" w:rsidP="000E22B2">
      <w:pPr>
        <w:tabs>
          <w:tab w:val="left" w:pos="540"/>
        </w:tabs>
        <w:autoSpaceDE w:val="0"/>
        <w:autoSpaceDN w:val="0"/>
        <w:adjustRightInd w:val="0"/>
        <w:spacing w:after="0"/>
      </w:pPr>
      <w:r>
        <w:t>iii</w:t>
      </w:r>
      <w:proofErr w:type="gramStart"/>
      <w:r>
        <w:t>)Both</w:t>
      </w:r>
      <w:proofErr w:type="gramEnd"/>
      <w:r>
        <w:t xml:space="preserve"> the plots are right skewed and has outliers</w:t>
      </w:r>
    </w:p>
    <w:p w:rsidR="00663A86" w:rsidRDefault="00663A86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autoSpaceDE w:val="0"/>
        <w:autoSpaceDN w:val="0"/>
        <w:adjustRightInd w:val="0"/>
        <w:spacing w:after="0"/>
      </w:pPr>
    </w:p>
    <w:p w:rsidR="000E22B2" w:rsidRP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663A86" w:rsidRDefault="00663A86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proofErr w:type="spellStart"/>
      <w:r>
        <w:rPr>
          <w:rFonts w:cs="BaskervilleBE-Regular"/>
        </w:rPr>
        <w:lastRenderedPageBreak/>
        <w:t>Ans</w:t>
      </w:r>
      <w:proofErr w:type="spellEnd"/>
      <w:r>
        <w:rPr>
          <w:rFonts w:cs="BaskervilleBE-Regular"/>
        </w:rPr>
        <w:t>= Probability of calls misdirecting=p = 1/200</w:t>
      </w:r>
    </w:p>
    <w:p w:rsidR="00663A86" w:rsidRDefault="00663A86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>Probability of calls not misdirecting=1-(1/200</w:t>
      </w:r>
      <w:proofErr w:type="gramStart"/>
      <w:r>
        <w:rPr>
          <w:rFonts w:cs="BaskervilleBE-Regular"/>
        </w:rPr>
        <w:t>)=</w:t>
      </w:r>
      <w:proofErr w:type="gramEnd"/>
      <w:r>
        <w:rPr>
          <w:rFonts w:cs="BaskervilleBE-Regular"/>
        </w:rPr>
        <w:t>q=199/200</w:t>
      </w:r>
      <w:r w:rsidRPr="00663A86">
        <w:rPr>
          <w:rFonts w:cs="BaskervilleBE-Regular"/>
        </w:rPr>
        <w:t xml:space="preserve"> </w:t>
      </w:r>
    </w:p>
    <w:p w:rsidR="00663A86" w:rsidRDefault="00663A86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>n=5</w:t>
      </w:r>
    </w:p>
    <w:p w:rsidR="00663A86" w:rsidRDefault="00663A86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proofErr w:type="gramStart"/>
      <w:r w:rsidRPr="0037002C">
        <w:rPr>
          <w:rFonts w:cs="BaskervilleBE-Regular"/>
        </w:rPr>
        <w:t>probability</w:t>
      </w:r>
      <w:proofErr w:type="gramEnd"/>
      <w:r w:rsidRPr="0037002C">
        <w:rPr>
          <w:rFonts w:cs="BaskervilleBE-Regular"/>
        </w:rPr>
        <w:t xml:space="preserve"> that at least one in five attempted telephone calls reaches the wrong number</w:t>
      </w:r>
    </w:p>
    <w:p w:rsidR="00663A86" w:rsidRDefault="00663A86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vertAlign w:val="superscript"/>
        </w:rPr>
      </w:pPr>
      <w:r>
        <w:rPr>
          <w:rFonts w:cs="BaskervilleBE-Regular"/>
        </w:rPr>
        <w:t>P(x</w:t>
      </w:r>
      <w:proofErr w:type="gramStart"/>
      <w:r>
        <w:rPr>
          <w:rFonts w:cs="BaskervilleBE-Regular"/>
        </w:rPr>
        <w:t>)=</w:t>
      </w:r>
      <w:proofErr w:type="spellStart"/>
      <w:proofErr w:type="gramEnd"/>
      <w:r>
        <w:rPr>
          <w:rFonts w:cs="BaskervilleBE-Regular"/>
          <w:vertAlign w:val="superscript"/>
        </w:rPr>
        <w:t>n</w:t>
      </w:r>
      <w:r>
        <w:rPr>
          <w:rFonts w:cs="BaskervilleBE-Regular"/>
        </w:rPr>
        <w:t>C</w:t>
      </w:r>
      <w:r>
        <w:rPr>
          <w:rFonts w:cs="BaskervilleBE-Regular"/>
          <w:vertAlign w:val="subscript"/>
        </w:rPr>
        <w:t>x</w:t>
      </w:r>
      <w:r>
        <w:rPr>
          <w:rFonts w:cs="BaskervilleBE-Regular"/>
        </w:rPr>
        <w:t>p</w:t>
      </w:r>
      <w:r>
        <w:rPr>
          <w:rFonts w:cs="BaskervilleBE-Regular"/>
          <w:vertAlign w:val="superscript"/>
        </w:rPr>
        <w:t>x</w:t>
      </w:r>
      <w:r>
        <w:rPr>
          <w:rFonts w:cs="BaskervilleBE-Regular"/>
        </w:rPr>
        <w:t>q</w:t>
      </w:r>
      <w:r>
        <w:rPr>
          <w:rFonts w:cs="BaskervilleBE-Regular"/>
          <w:vertAlign w:val="superscript"/>
        </w:rPr>
        <w:t>n</w:t>
      </w:r>
      <w:proofErr w:type="spellEnd"/>
      <w:r>
        <w:rPr>
          <w:rFonts w:cs="BaskervilleBE-Regular"/>
          <w:vertAlign w:val="superscript"/>
        </w:rPr>
        <w:t>-x</w:t>
      </w:r>
    </w:p>
    <w:p w:rsidR="00663A86" w:rsidRDefault="00663A86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vertAlign w:val="superscript"/>
        </w:rPr>
      </w:pPr>
      <w:r>
        <w:rPr>
          <w:rFonts w:cs="BaskervilleBE-Regular"/>
          <w:vertAlign w:val="superscript"/>
        </w:rPr>
        <w:t xml:space="preserve">           </w:t>
      </w:r>
      <w:r>
        <w:rPr>
          <w:rFonts w:cs="BaskervilleBE-Regular"/>
        </w:rPr>
        <w:t>=</w:t>
      </w:r>
      <w:proofErr w:type="gramStart"/>
      <w:r>
        <w:rPr>
          <w:rFonts w:cs="BaskervilleBE-Regular"/>
          <w:vertAlign w:val="superscript"/>
        </w:rPr>
        <w:t>5</w:t>
      </w:r>
      <w:r>
        <w:rPr>
          <w:rFonts w:cs="BaskervilleBE-Regular"/>
        </w:rPr>
        <w:t>C</w:t>
      </w:r>
      <w:r>
        <w:rPr>
          <w:rFonts w:cs="BaskervilleBE-Regular"/>
          <w:vertAlign w:val="subscript"/>
        </w:rPr>
        <w:t>1</w:t>
      </w:r>
      <w:r>
        <w:rPr>
          <w:rFonts w:cs="BaskervilleBE-Regular"/>
        </w:rPr>
        <w:t>(</w:t>
      </w:r>
      <w:proofErr w:type="gramEnd"/>
      <w:r>
        <w:rPr>
          <w:rFonts w:cs="BaskervilleBE-Regular"/>
        </w:rPr>
        <w:t>1/200)</w:t>
      </w:r>
      <w:r>
        <w:rPr>
          <w:rFonts w:cs="BaskervilleBE-Regular"/>
          <w:vertAlign w:val="superscript"/>
        </w:rPr>
        <w:t>1</w:t>
      </w:r>
      <w:r>
        <w:rPr>
          <w:rFonts w:cs="BaskervilleBE-Regular"/>
        </w:rPr>
        <w:t>(199/200)</w:t>
      </w:r>
      <w:r>
        <w:rPr>
          <w:rFonts w:cs="BaskervilleBE-Regular"/>
          <w:vertAlign w:val="superscript"/>
        </w:rPr>
        <w:t>4</w:t>
      </w:r>
    </w:p>
    <w:p w:rsidR="00663A86" w:rsidRPr="00663A86" w:rsidRDefault="00663A86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vertAlign w:val="superscript"/>
        </w:rPr>
      </w:pPr>
      <w:r>
        <w:rPr>
          <w:rFonts w:cs="BaskervilleBE-Regular"/>
          <w:vertAlign w:val="superscript"/>
        </w:rPr>
        <w:t xml:space="preserve">   </w:t>
      </w:r>
      <w:proofErr w:type="gramStart"/>
      <w:r>
        <w:rPr>
          <w:rFonts w:cs="BaskervilleBE-Regular"/>
        </w:rPr>
        <w:t>P(</w:t>
      </w:r>
      <w:proofErr w:type="gramEnd"/>
      <w:r>
        <w:rPr>
          <w:rFonts w:cs="BaskervilleBE-Regular"/>
        </w:rPr>
        <w:t>1)</w:t>
      </w:r>
      <w:r>
        <w:rPr>
          <w:rFonts w:cs="BaskervilleBE-Regular"/>
          <w:vertAlign w:val="superscript"/>
        </w:rPr>
        <w:t>=</w:t>
      </w:r>
      <w:r w:rsidRPr="00350D57">
        <w:t>0.024</w:t>
      </w:r>
    </w:p>
    <w:p w:rsidR="00663A86" w:rsidRDefault="00663A86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Ind w:w="720" w:type="dxa"/>
        <w:tblLook w:val="04A0"/>
      </w:tblPr>
      <w:tblGrid>
        <w:gridCol w:w="2078"/>
        <w:gridCol w:w="2072"/>
      </w:tblGrid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:rsidR="000E22B2" w:rsidRPr="0037002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:rsidR="00ED4082" w:rsidRDefault="000339A7"/>
    <w:p w:rsidR="00663A86" w:rsidRDefault="00663A86">
      <w:proofErr w:type="spellStart"/>
      <w:r>
        <w:t>Ans</w:t>
      </w:r>
      <w:proofErr w:type="spellEnd"/>
      <w:r>
        <w:t>= E(X</w:t>
      </w:r>
      <w:proofErr w:type="gramStart"/>
      <w:r>
        <w:t>)=</w:t>
      </w:r>
      <w:proofErr w:type="gramEnd"/>
      <w:r>
        <w:rPr>
          <w:rFonts w:cstheme="minorHAnsi"/>
        </w:rPr>
        <w:t>∑</w:t>
      </w:r>
      <w:proofErr w:type="spellStart"/>
      <w:r>
        <w:t>x.P</w:t>
      </w:r>
      <w:proofErr w:type="spellEnd"/>
      <w:r>
        <w:t>(x)</w:t>
      </w:r>
    </w:p>
    <w:p w:rsidR="00663A86" w:rsidRDefault="00663A86" w:rsidP="00663A86">
      <w:r>
        <w:t>E(X</w:t>
      </w:r>
      <w:proofErr w:type="gramStart"/>
      <w:r>
        <w:t>)</w:t>
      </w:r>
      <w:r>
        <w:rPr>
          <w:vertAlign w:val="superscript"/>
        </w:rPr>
        <w:t>2</w:t>
      </w:r>
      <w:proofErr w:type="gramEnd"/>
      <w:r>
        <w:t>=</w:t>
      </w:r>
      <w:r>
        <w:rPr>
          <w:rFonts w:cstheme="minorHAnsi"/>
        </w:rPr>
        <w:t>∑</w:t>
      </w:r>
      <w:r>
        <w:t>x</w:t>
      </w:r>
      <w:r>
        <w:rPr>
          <w:vertAlign w:val="superscript"/>
        </w:rPr>
        <w:t>2</w:t>
      </w:r>
      <w:r>
        <w:t>.P(x)</w:t>
      </w:r>
    </w:p>
    <w:tbl>
      <w:tblPr>
        <w:tblStyle w:val="TableGrid"/>
        <w:tblW w:w="0" w:type="auto"/>
        <w:tblInd w:w="2235" w:type="dxa"/>
        <w:tblLook w:val="04A0"/>
      </w:tblPr>
      <w:tblGrid>
        <w:gridCol w:w="2553"/>
        <w:gridCol w:w="2550"/>
      </w:tblGrid>
      <w:tr w:rsidR="00663A86" w:rsidTr="00663A86">
        <w:tc>
          <w:tcPr>
            <w:tcW w:w="2553" w:type="dxa"/>
          </w:tcPr>
          <w:p w:rsidR="00663A86" w:rsidRDefault="00663A86">
            <w:r>
              <w:t xml:space="preserve">                 E(X)</w:t>
            </w:r>
          </w:p>
        </w:tc>
        <w:tc>
          <w:tcPr>
            <w:tcW w:w="2550" w:type="dxa"/>
          </w:tcPr>
          <w:p w:rsidR="00663A86" w:rsidRDefault="00663A86">
            <w:r>
              <w:t xml:space="preserve">                    E(X)</w:t>
            </w:r>
            <w:r>
              <w:rPr>
                <w:vertAlign w:val="superscript"/>
              </w:rPr>
              <w:t>2</w:t>
            </w:r>
          </w:p>
        </w:tc>
      </w:tr>
      <w:tr w:rsidR="00663A86" w:rsidTr="00663A86">
        <w:tc>
          <w:tcPr>
            <w:tcW w:w="2553" w:type="dxa"/>
          </w:tcPr>
          <w:p w:rsidR="00663A86" w:rsidRDefault="00663A86" w:rsidP="00663A86">
            <w:pPr>
              <w:pStyle w:val="ListParagraph"/>
              <w:ind w:left="840"/>
            </w:pPr>
            <w:r>
              <w:t>-200</w:t>
            </w:r>
          </w:p>
        </w:tc>
        <w:tc>
          <w:tcPr>
            <w:tcW w:w="2550" w:type="dxa"/>
          </w:tcPr>
          <w:p w:rsidR="00663A86" w:rsidRDefault="00663A86">
            <w:r>
              <w:t>400000</w:t>
            </w:r>
          </w:p>
        </w:tc>
      </w:tr>
      <w:tr w:rsidR="00663A86" w:rsidTr="00663A86">
        <w:tc>
          <w:tcPr>
            <w:tcW w:w="2553" w:type="dxa"/>
          </w:tcPr>
          <w:p w:rsidR="00663A86" w:rsidRDefault="00663A86">
            <w:r>
              <w:t xml:space="preserve">                 -100</w:t>
            </w:r>
          </w:p>
        </w:tc>
        <w:tc>
          <w:tcPr>
            <w:tcW w:w="2550" w:type="dxa"/>
          </w:tcPr>
          <w:p w:rsidR="00663A86" w:rsidRDefault="00663A86">
            <w:r>
              <w:t>100000</w:t>
            </w:r>
          </w:p>
        </w:tc>
      </w:tr>
      <w:tr w:rsidR="00663A86" w:rsidTr="00663A86">
        <w:tc>
          <w:tcPr>
            <w:tcW w:w="2553" w:type="dxa"/>
          </w:tcPr>
          <w:p w:rsidR="00663A86" w:rsidRDefault="00663A86">
            <w:r>
              <w:t xml:space="preserve">                    0</w:t>
            </w:r>
          </w:p>
        </w:tc>
        <w:tc>
          <w:tcPr>
            <w:tcW w:w="2550" w:type="dxa"/>
          </w:tcPr>
          <w:p w:rsidR="00663A86" w:rsidRDefault="00663A86">
            <w:r>
              <w:t>0</w:t>
            </w:r>
          </w:p>
        </w:tc>
      </w:tr>
      <w:tr w:rsidR="00663A86" w:rsidTr="00663A86">
        <w:tc>
          <w:tcPr>
            <w:tcW w:w="2553" w:type="dxa"/>
          </w:tcPr>
          <w:p w:rsidR="00663A86" w:rsidRDefault="00663A86">
            <w:r>
              <w:t xml:space="preserve">                  200</w:t>
            </w:r>
          </w:p>
        </w:tc>
        <w:tc>
          <w:tcPr>
            <w:tcW w:w="2550" w:type="dxa"/>
          </w:tcPr>
          <w:p w:rsidR="00663A86" w:rsidRDefault="00663A86">
            <w:r>
              <w:t>200000</w:t>
            </w:r>
          </w:p>
        </w:tc>
      </w:tr>
      <w:tr w:rsidR="00663A86" w:rsidTr="00663A86">
        <w:tc>
          <w:tcPr>
            <w:tcW w:w="2553" w:type="dxa"/>
          </w:tcPr>
          <w:p w:rsidR="00663A86" w:rsidRDefault="00663A86">
            <w:r>
              <w:t xml:space="preserve">                  600</w:t>
            </w:r>
          </w:p>
        </w:tc>
        <w:tc>
          <w:tcPr>
            <w:tcW w:w="2550" w:type="dxa"/>
          </w:tcPr>
          <w:p w:rsidR="00663A86" w:rsidRDefault="00663A86">
            <w:r>
              <w:t>1200000</w:t>
            </w:r>
          </w:p>
        </w:tc>
      </w:tr>
      <w:tr w:rsidR="00663A86" w:rsidTr="00663A86">
        <w:tc>
          <w:tcPr>
            <w:tcW w:w="2553" w:type="dxa"/>
          </w:tcPr>
          <w:p w:rsidR="00663A86" w:rsidRDefault="00663A86">
            <w:r>
              <w:t xml:space="preserve">                  300</w:t>
            </w:r>
          </w:p>
        </w:tc>
        <w:tc>
          <w:tcPr>
            <w:tcW w:w="2550" w:type="dxa"/>
          </w:tcPr>
          <w:p w:rsidR="00663A86" w:rsidRDefault="00663A86">
            <w:r>
              <w:t>900000</w:t>
            </w:r>
          </w:p>
        </w:tc>
      </w:tr>
      <w:tr w:rsidR="00663A86" w:rsidTr="00663A86">
        <w:tc>
          <w:tcPr>
            <w:tcW w:w="2553" w:type="dxa"/>
          </w:tcPr>
          <w:p w:rsidR="00663A86" w:rsidRDefault="00663A86">
            <w:r>
              <w:t>Total=800</w:t>
            </w:r>
          </w:p>
        </w:tc>
        <w:tc>
          <w:tcPr>
            <w:tcW w:w="2550" w:type="dxa"/>
          </w:tcPr>
          <w:p w:rsidR="00663A86" w:rsidRDefault="00663A86">
            <w:r>
              <w:t>Total=2800000</w:t>
            </w:r>
          </w:p>
        </w:tc>
      </w:tr>
    </w:tbl>
    <w:p w:rsidR="00663A86" w:rsidRDefault="00663A86"/>
    <w:p w:rsidR="00663A86" w:rsidRDefault="00663A86">
      <w:proofErr w:type="spellStart"/>
      <w:r>
        <w:t>i</w:t>
      </w:r>
      <w:proofErr w:type="spellEnd"/>
      <w:r>
        <w:t xml:space="preserve">) </w:t>
      </w:r>
      <w:proofErr w:type="gramStart"/>
      <w:r>
        <w:t>most</w:t>
      </w:r>
      <w:proofErr w:type="gramEnd"/>
      <w:r>
        <w:t xml:space="preserve"> likely monetary outcome of the business venture=2000 with probability 0.3 which is highest</w:t>
      </w:r>
    </w:p>
    <w:p w:rsidR="00663A86" w:rsidRDefault="00663A86">
      <w:r>
        <w:t>ii) Yes, the venture is likely to be successful</w:t>
      </w:r>
    </w:p>
    <w:p w:rsidR="00663A86" w:rsidRDefault="00663A86">
      <w:r>
        <w:t>0.2+0.3+0.2+0.1=0.8=80% chances of making profit</w:t>
      </w:r>
    </w:p>
    <w:p w:rsidR="00663A86" w:rsidRDefault="00663A86">
      <w:r>
        <w:t xml:space="preserve">iii) </w:t>
      </w:r>
      <w:proofErr w:type="gramStart"/>
      <w:r>
        <w:t>long-term</w:t>
      </w:r>
      <w:proofErr w:type="gramEnd"/>
      <w:r>
        <w:t xml:space="preserve"> average earning of business ventures=</w:t>
      </w:r>
      <w:r w:rsidRPr="00663A86">
        <w:t xml:space="preserve"> </w:t>
      </w:r>
      <w:r>
        <w:t>E(X)=</w:t>
      </w:r>
      <w:r>
        <w:rPr>
          <w:rFonts w:cstheme="minorHAnsi"/>
        </w:rPr>
        <w:t>∑</w:t>
      </w:r>
      <w:proofErr w:type="spellStart"/>
      <w:r>
        <w:t>x.P</w:t>
      </w:r>
      <w:proofErr w:type="spellEnd"/>
      <w:r>
        <w:t>(x)=800 means average returns will be +800</w:t>
      </w:r>
    </w:p>
    <w:p w:rsidR="00663A86" w:rsidRDefault="00663A86">
      <w:proofErr w:type="gramStart"/>
      <w:r>
        <w:lastRenderedPageBreak/>
        <w:t>iv) The</w:t>
      </w:r>
      <w:proofErr w:type="gramEnd"/>
      <w:r>
        <w:t xml:space="preserve"> good measure is the variance in venture. High variance means high risk</w:t>
      </w:r>
    </w:p>
    <w:p w:rsidR="00663A86" w:rsidRDefault="00663A86" w:rsidP="00663A86">
      <w:pPr>
        <w:pStyle w:val="ListParagraph"/>
        <w:autoSpaceDE w:val="0"/>
        <w:autoSpaceDN w:val="0"/>
        <w:adjustRightInd w:val="0"/>
        <w:spacing w:after="0"/>
        <w:ind w:left="1440"/>
      </w:pPr>
      <w:proofErr w:type="spellStart"/>
      <w:r>
        <w:t>Var</w:t>
      </w:r>
      <w:proofErr w:type="spellEnd"/>
      <w:r>
        <w:t xml:space="preserve"> (X) = E(X^2) </w:t>
      </w:r>
      <w:proofErr w:type="gramStart"/>
      <w:r>
        <w:t>–(</w:t>
      </w:r>
      <w:proofErr w:type="gramEnd"/>
      <w:r>
        <w:t>E(X))^2</w:t>
      </w:r>
    </w:p>
    <w:p w:rsidR="00663A86" w:rsidRDefault="00663A86" w:rsidP="00663A86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             = 2800000 – 800^2</w:t>
      </w:r>
    </w:p>
    <w:p w:rsidR="00663A86" w:rsidRDefault="00663A86" w:rsidP="00663A86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             = 2160000</w:t>
      </w:r>
    </w:p>
    <w:p w:rsidR="00663A86" w:rsidRDefault="00663A86"/>
    <w:sectPr w:rsidR="00663A86" w:rsidSect="000E22B2">
      <w:footerReference w:type="default" r:id="rId11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39A7" w:rsidRDefault="000339A7">
      <w:pPr>
        <w:spacing w:after="0" w:line="240" w:lineRule="auto"/>
      </w:pPr>
      <w:r>
        <w:separator/>
      </w:r>
    </w:p>
  </w:endnote>
  <w:endnote w:type="continuationSeparator" w:id="0">
    <w:p w:rsidR="000339A7" w:rsidRDefault="000339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:rsidR="00BD6EA9" w:rsidRDefault="000339A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39A7" w:rsidRDefault="000339A7">
      <w:pPr>
        <w:spacing w:after="0" w:line="240" w:lineRule="auto"/>
      </w:pPr>
      <w:r>
        <w:separator/>
      </w:r>
    </w:p>
  </w:footnote>
  <w:footnote w:type="continuationSeparator" w:id="0">
    <w:p w:rsidR="000339A7" w:rsidRDefault="000339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EEF7C54"/>
    <w:multiLevelType w:val="hybridMultilevel"/>
    <w:tmpl w:val="AFD8A226"/>
    <w:lvl w:ilvl="0" w:tplc="B49654EE">
      <w:start w:val="3"/>
      <w:numFmt w:val="bullet"/>
      <w:lvlText w:val="-"/>
      <w:lvlJc w:val="left"/>
      <w:pPr>
        <w:ind w:left="8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E22B2"/>
    <w:rsid w:val="000339A7"/>
    <w:rsid w:val="000E22B2"/>
    <w:rsid w:val="00241653"/>
    <w:rsid w:val="00310065"/>
    <w:rsid w:val="003E64A8"/>
    <w:rsid w:val="00614CA4"/>
    <w:rsid w:val="00663A86"/>
    <w:rsid w:val="008B5FFA"/>
    <w:rsid w:val="00AF65C6"/>
    <w:rsid w:val="00FA0D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63A8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695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557</Words>
  <Characters>3181</Characters>
  <Application>Microsoft Office Word</Application>
  <DocSecurity>0</DocSecurity>
  <Lines>26</Lines>
  <Paragraphs>7</Paragraphs>
  <ScaleCrop>false</ScaleCrop>
  <Company/>
  <LinksUpToDate>false</LinksUpToDate>
  <CharactersWithSpaces>3731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Shiva Sheelvanth</cp:lastModifiedBy>
  <cp:revision>2</cp:revision>
  <dcterms:created xsi:type="dcterms:W3CDTF">2022-05-17T08:46:00Z</dcterms:created>
  <dcterms:modified xsi:type="dcterms:W3CDTF">2022-05-17T08:46:00Z</dcterms:modified>
</cp:coreProperties>
</file>