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191919"/>
          <w:spacing w:val="60"/>
          <w:sz w:val="20"/>
          <w:szCs w:val="20"/>
        </w:rPr>
        <w:t xml:space="preserve">IMPLEMENTATION CASE STUDY</w:t>
      </w:r>
    </w:p>
    <w:p>
      <w:pPr>
        <w:spacing w:after="120"/>
      </w:pPr>
      <w:r>
        <w:rPr>
          <w:spacing w:val="40"/>
          <w:sz w:val="30"/>
          <w:szCs w:val="30"/>
        </w:rPr>
        <w:t xml:space="preserve">AI-ASSISTED MEDICAL CODEBOOK GENERATION</w:t>
      </w:r>
    </w:p>
    <w:p>
      <w:pPr>
        <w:pBdr>
          <w:bottom w:val="single" w:color="AAA0FF" w:sz="36" w:space="12"/>
        </w:pBdr>
        <w:spacing w:after="360"/>
      </w:pPr>
      <w:r>
        <w:rPr>
          <w:color w:val="191919"/>
          <w:sz w:val="20"/>
          <w:szCs w:val="20"/>
        </w:rPr>
        <w:t xml:space="preserve">Applied AI and Software Engineer  ·  Ambit Digital Transformation</w:t>
      </w:r>
    </w:p>
    <w:p>
      <w:pPr>
        <w:pStyle w:val="Heading1"/>
      </w:pPr>
      <w:r>
        <w:t xml:space="preserve">ABOUT THIS EXERCISE</w:t>
      </w:r>
    </w:p>
    <w:p>
      <w:pPr>
        <w:spacing w:after="120"/>
      </w:pPr>
      <w:r>
        <w:t xml:space="preserve">This exercise is based on a problem our Digital Transformation team solves for biopharma clients. It is not a design interview. We want to see how you implement: which native platform capabilities you choose, how you put them together, and how you show that the result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AA0FF" w:sz="36"/>
              <w:bottom w:val="none" w:color="FFFFFF" w:sz="0"/>
              <w:right w:val="none" w:color="FFFFFF" w:sz="0"/>
            </w:tcBorders>
            <w:shd w:fill="EAE7FF" w:color="auto" w:val="clear"/>
            <w:tcMar>
              <w:top w:type="dxa" w:w="200"/>
              <w:left w:type="dxa" w:w="288"/>
              <w:bottom w:type="dxa" w:w="200"/>
              <w:right w:type="dxa" w:w="288"/>
            </w:tcMar>
          </w:tcPr>
          <w:p>
            <w:pPr>
              <w:spacing w:after="120"/>
            </w:pPr>
            <w:r>
              <w:rPr>
                <w:spacing w:val="40"/>
                <w:sz w:val="20"/>
                <w:szCs w:val="20"/>
              </w:rPr>
              <w:t xml:space="preserve">AT A GLANCE</w:t>
            </w:r>
          </w:p>
          <w:p>
            <w:pPr>
              <w:pStyle w:val="ListParagraph"/>
              <w:numPr>
                <w:ilvl w:val="0"/>
                <w:numId w:val="2"/>
              </w:numPr>
            </w:pPr>
            <w:r>
              <w:rPr>
                <w:b/>
                <w:bCs/>
              </w:rPr>
              <w:t xml:space="preserve">Platform:</w:t>
            </w:r>
            <w:r>
              <w:t xml:space="preserve"> your choice of Snowflake, Databricks, or AWS.</w:t>
            </w:r>
          </w:p>
          <w:p>
            <w:pPr>
              <w:pStyle w:val="ListParagraph"/>
              <w:numPr>
                <w:ilvl w:val="0"/>
                <w:numId w:val="2"/>
              </w:numPr>
            </w:pPr>
            <w:r>
              <w:rPr>
                <w:b/>
                <w:bCs/>
              </w:rPr>
              <w:t xml:space="preserve">Part 01, implementation plan:</w:t>
            </w:r>
            <w:r>
              <w:t xml:space="preserve"> about 2–3 hours.</w:t>
            </w:r>
          </w:p>
          <w:p>
            <w:pPr>
              <w:pStyle w:val="ListParagraph"/>
              <w:numPr>
                <w:ilvl w:val="0"/>
                <w:numId w:val="2"/>
              </w:numPr>
            </w:pPr>
            <w:r>
              <w:rPr>
                <w:b/>
                <w:bCs/>
              </w:rPr>
              <w:t xml:space="preserve">Part 02, thin-slice build:</w:t>
            </w:r>
            <w:r>
              <w:t xml:space="preserve"> about 3–4 hours.</w:t>
            </w:r>
          </w:p>
          <w:p>
            <w:pPr>
              <w:pStyle w:val="ListParagraph"/>
              <w:numPr>
                <w:ilvl w:val="0"/>
                <w:numId w:val="2"/>
              </w:numPr>
            </w:pPr>
            <w:r>
              <w:rPr>
                <w:b/>
                <w:bCs/>
              </w:rPr>
              <w:t xml:space="preserve">Follow-up:</w:t>
            </w:r>
            <w:r>
              <w:t xml:space="preserve"> a 60-minute session where you walk us through your work and extend it with us.</w:t>
            </w:r>
          </w:p>
          <w:p>
            <w:pPr>
              <w:pStyle w:val="ListParagraph"/>
              <w:numPr>
                <w:ilvl w:val="0"/>
                <w:numId w:val="2"/>
              </w:numPr>
            </w:pPr>
            <w:r>
              <w:rPr>
                <w:b/>
                <w:bCs/>
              </w:rPr>
              <w:t xml:space="preserve">Time cap:</w:t>
            </w:r>
            <w:r>
              <w:t xml:space="preserve"> please stop at 8 hours in total. A smaller slice done well beats everything done partially.</w:t>
            </w:r>
          </w:p>
          <w:p>
            <w:pPr>
              <w:pStyle w:val="ListParagraph"/>
              <w:numPr>
                <w:ilvl w:val="0"/>
                <w:numId w:val="2"/>
              </w:numPr>
            </w:pPr>
            <w:r>
              <w:rPr>
                <w:b/>
                <w:bCs/>
              </w:rPr>
              <w:t xml:space="preserve">AI coding tools:</w:t>
            </w:r>
            <w:r>
              <w:t xml:space="preserve"> welcome. Tell us which ones you used and how.</w:t>
            </w:r>
          </w:p>
        </w:tc>
      </w:tr>
    </w:tbl>
    <w:p>
      <w:pPr>
        <w:spacing w:after="120"/>
      </w:pPr>
    </w:p>
    <w:p>
      <w:pPr>
        <w:pStyle w:val="Heading1"/>
      </w:pPr>
      <w:r>
        <w:t xml:space="preserve">BACKGROUND</w:t>
      </w:r>
    </w:p>
    <w:p>
      <w:pPr>
        <w:spacing w:after="120"/>
      </w:pPr>
      <w:r>
        <w:t xml:space="preserve">In healthcare analytics, every project begins by building a codebook: a structured reference file that defines which medical codes are relevant to a disease area. Think of it as a curated lookup table that tells analysts, “for this disease, these are the diagnosis codes, drug codes, procedure codes, and billing codes you need to track.”</w:t>
      </w:r>
    </w:p>
    <w:p>
      <w:pPr>
        <w:spacing w:after="120"/>
      </w:pPr>
      <w:r>
        <w:t xml:space="preserve">Today this process is manual. An analyst researches the disease, searches code databases, checks how often each code appears in patient data, and organizes everything into a spreadsheet. It takes significant time at the start of every project, is error-prone, and is repeated from scratch even for similar disease areas.</w:t>
      </w:r>
    </w:p>
    <w:p>
      <w:pPr>
        <w:pStyle w:val="Heading2"/>
      </w:pPr>
      <w: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060"/>
        <w:gridCol w:w="3500"/>
      </w:tblGrid>
      <w:tr>
        <w:trPr>
          <w:tblHeader/>
        </w:trPr>
        <w:tc>
          <w:tcPr>
            <w:tcW w:type="dxa" w:w="18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Code type</w:t>
            </w:r>
          </w:p>
        </w:tc>
        <w:tc>
          <w:tcPr>
            <w:tcW w:type="dxa" w:w="40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What it is</w:t>
            </w:r>
          </w:p>
        </w:tc>
        <w:tc>
          <w:tcPr>
            <w:tcW w:type="dxa" w:w="35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Why it matters</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ICD-10-CM</w:t>
            </w:r>
          </w:p>
        </w:tc>
        <w:tc>
          <w:tcPr>
            <w:tcW w:type="dxa" w:w="40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Standardized diagnosis codes (for example, E11.65 = type 2 diabetes with hyperglycemia)</w:t>
            </w:r>
          </w:p>
        </w:tc>
        <w:tc>
          <w:tcPr>
            <w:tcW w:type="dxa" w:w="3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Defines which patients are in scope</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NDC</w:t>
            </w:r>
          </w:p>
        </w:tc>
        <w:tc>
          <w:tcPr>
            <w:tcW w:type="dxa" w:w="40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Unique identifier for every drug product sold in the US (labeler + product + package)</w:t>
            </w:r>
          </w:p>
        </w:tc>
        <w:tc>
          <w:tcPr>
            <w:tcW w:type="dxa" w:w="3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Tells you exactly which drug a patient received</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J-codes (HCPCS)</w:t>
            </w:r>
          </w:p>
        </w:tc>
        <w:tc>
          <w:tcPr>
            <w:tcW w:type="dxa" w:w="40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Billing codes for drugs administered by a healthcare provider (injections, infusions)</w:t>
            </w:r>
          </w:p>
        </w:tc>
        <w:tc>
          <w:tcPr>
            <w:tcW w:type="dxa" w:w="3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Used in medical claims to bill for drugs</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CPT</w:t>
            </w:r>
          </w:p>
        </w:tc>
        <w:tc>
          <w:tcPr>
            <w:tcW w:type="dxa" w:w="40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Procedure codes for medical services (surgeries, lab tests, infusion administration)</w:t>
            </w:r>
          </w:p>
        </w:tc>
        <w:tc>
          <w:tcPr>
            <w:tcW w:type="dxa" w:w="3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Identifies treatments and procedures performed</w:t>
            </w:r>
          </w:p>
        </w:tc>
      </w:tr>
    </w:tbl>
    <w:p>
      <w:pPr>
        <w:spacing w:after="120"/>
      </w:pPr>
    </w:p>
    <w:p>
      <w:pPr>
        <w:pStyle w:val="Heading2"/>
      </w:pPr>
      <w:r>
        <w:t xml:space="preserve">THE CRITICAL RELATIONSHIP</w:t>
      </w:r>
    </w:p>
    <w:p>
      <w:pPr>
        <w:spacing w:after="120"/>
      </w:pPr>
      <w:r>
        <w:t xml:space="preserve">A single drug can have dozens of NDCs (different labelers, package sizes, formulations). For billing, these NDCs must map to the correct J-code. If that link is missing, patients who received the drug become invisible in the analysis. The same drug in a different formulation (an IV liquid versus an oral tablet, for example) may need a completely different billing code, or none at all. These mappings change over time and are updated quarterly.</w:t>
      </w:r>
    </w:p>
    <w:p>
      <w:pPr>
        <w:pStyle w:val="Heading1"/>
      </w:pPr>
      <w:r>
        <w:t xml:space="preserve">THE CLIENT SCENARIO</w:t>
      </w:r>
    </w:p>
    <w:p>
      <w:pPr>
        <w:spacing w:after="120"/>
      </w:pPr>
      <w:r>
        <w:t xml:space="preserve">A commercial analytics client wants to cut codebook creation time by 60–80% while matching or improving current accuracy. Their data and analytics already run on your chosen platform. Their IT team requires the solution to run inside that environment and use its native services wherever practical, so it can be governed, secured, and handed over to their team.</w:t>
      </w:r>
    </w:p>
    <w:p>
      <w:pPr>
        <w:spacing w:after="120"/>
      </w:pPr>
      <w:r>
        <w:t xml:space="preserve">Your technical lead has agreed the following architecture principles with the client. Build within them. The reference architecture on the next page shows how they fit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6360"/>
      </w:tblGrid>
      <w:tr>
        <w:trPr>
          <w:tblHeader/>
        </w:trPr>
        <w:tc>
          <w:tcPr>
            <w:tcW w:type="dxa" w:w="6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p>
        </w:tc>
        <w:tc>
          <w:tcPr>
            <w:tcW w:type="dxa" w:w="24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Principle</w:t>
            </w:r>
          </w:p>
        </w:tc>
        <w:tc>
          <w:tcPr>
            <w:tcW w:type="dxa" w:w="63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What it means here</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01</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AI proposes, data decides</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An LLM may research the disease area and propose candidate drugs, codes, and groupings. Every code in the output must be validated against the reference tables. NDC-to-J-code mapping is a deterministic lookup and is never generated. Formulation handling comes from an analyst-owned rules table, not from the model.</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02</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Grounded, not remembered</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AI suggestions are grounded in the provided reference data and cite their evidence. The model's training-data recall alone is not acceptable evidence.</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03</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Versioned reference data</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Reference sets update on different schedules: ICD-10-CM annually, HCPCS and the NDC-HCPCS crosswalk quarterly. Every codebook records the reference versions it was built against and can be reproduced.</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04</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Human approval</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Output is a draft until a named reviewer approves it. Approved codebooks do not change; a revision creates a new version.</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05</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Least privilege</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The application and its components run under dedicated identities with only the permissions they need. The claims table contains PHI-like fields that the codebook process must not expose.</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06</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Observable and testable</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Model calls, tool calls, and validation outcomes are traced. Quality is measured with automated tests and an evaluation set, not by eye.</w:t>
            </w:r>
          </w:p>
        </w:tc>
      </w:tr>
    </w:tbl>
    <w:p>
      <w:pPr>
        <w:spacing w:after="120"/>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REFERENCE ARCHITECTURE</w:t>
      </w:r>
    </w:p>
    <w:p>
      <w:r>
        <w:drawing>
          <wp:inline distT="0" distB="0" distL="0" distR="0">
            <wp:extent cx="86868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686800" cy="4362450"/>
                    </a:xfrm>
                    <a:prstGeom prst="rect">
                      <a:avLst/>
                    </a:prstGeom>
                  </pic:spPr>
                </pic:pic>
              </a:graphicData>
            </a:graphic>
          </wp:inline>
        </w:drawing>
      </w:r>
    </w:p>
    <w:p>
      <w:pPr>
        <w:pBdr>
          <w:top w:val="single" w:color="AAA0FF" w:sz="12" w:space="4"/>
          <w:left w:val="single" w:color="AAA0FF" w:sz="12" w:space="4"/>
          <w:bottom w:val="single" w:color="AAA0FF" w:sz="12" w:space="4"/>
          <w:right w:val="single" w:color="AAA0FF" w:sz="12" w:space="4"/>
        </w:pBdr>
        <w:shd w:fill="000000" w:color="auto" w:val="clear"/>
        <w:spacing w:before="200"/>
        <w:ind w:left="2160" w:right="2160"/>
        <w:jc w:val="center"/>
        <w:sectPr>
          <w:headerReference w:type="default" r:id="rId8"/>
          <w:footerReference w:type="default" r:id="rId9"/>
          <w:pgSz w:w="15840" w:h="12240" w:orient="landscape"/>
          <w:pgMar w:top="1080" w:right="1080" w:bottom="1080" w:left="1080" w:header="708" w:footer="708" w:gutter="0"/>
          <w:pgNumType/>
          <w:docGrid w:linePitch="360"/>
        </w:sectPr>
      </w:pPr>
      <w:r>
        <w:rPr>
          <w:color w:val="FFFFFF"/>
          <w:spacing w:val="40"/>
          <w:sz w:val="18"/>
          <w:szCs w:val="18"/>
        </w:rPr>
        <w:t xml:space="preserve">AI PROPOSES  ·  REFERENCE DATA DECIDES  ·  A PERSON APPROVES</w:t>
      </w:r>
    </w:p>
    <w:p>
      <w:pPr>
        <w:pStyle w:val="Heading2"/>
      </w:pPr>
      <w:r>
        <w:t xml:space="preserve">READING THE REFERENCE ARCHITECTURE</w:t>
      </w:r>
    </w:p>
    <w:p>
      <w:pPr>
        <w:spacing w:after="120"/>
      </w:pPr>
      <w:r>
        <w:t xml:space="preserve">The diagram on the previous page is the agreed shape of the solution. It is deliberately platform-neutral: part of your job in Part 01 is to decide which native capability implements each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6360"/>
      </w:tblGrid>
      <w:tr>
        <w:trPr>
          <w:tblHeader/>
        </w:trPr>
        <w:tc>
          <w:tcPr>
            <w:tcW w:type="dxa" w:w="7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p>
        </w:tc>
        <w:tc>
          <w:tcPr>
            <w:tcW w:type="dxa" w:w="23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Step</w:t>
            </w:r>
          </w:p>
        </w:tc>
        <w:tc>
          <w:tcPr>
            <w:tcW w:type="dxa" w:w="63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What it does</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1</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Land and version</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Every file release lands as its own version with effective and end dates. Older versions stay queryable, so any codebook can be rebuilt exactly.</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2</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Validate the load</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Compare row counts with the last release and check keys and date ranges. A failed check stops the version from being published.</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3</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Normalize</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Standardize code formats and split out dosage form, route, and strength so billing rules can match on them.</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4</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Index for search</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Index code and drug descriptions with synonyms and brand names, each tagged with the reference version it came from.</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5</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Billing rules</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Analysts own the rules for formulation handling, such as an oral product billed through pharmacy with no J-code. Rules are data, not prompts.</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6</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Stores</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Reference tables are the source of truth; the search index is rebuilt from them. Claims sit in a restricted area and are reachable only as counts.</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7</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Research agent</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The only AI step. Turns a disease area into candidate drugs, each with a rationale and the reference records it found. It proposes; it never picks a code.</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8</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Reference tools</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Small typed functions under a read-only identity, shared by the agent, the pipeline, and the eval suite, with every call traced. The diagram shows one example; which tools you need, and what they take and return, is part of your design.</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9</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Resolve and validate</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Deterministic. Drug to NDC to J-code through the crosswalk as of the pinned version. A code that is not in the tables is rejected and kept with a reason.</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10</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Review and approve</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 named reviewer accepts or rejects each row. Approval freezes the codebook as a new version; later edits create another one.</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11</w:t>
            </w:r>
          </w:p>
        </w:tc>
        <w:tc>
          <w:tcPr>
            <w:tcW w:type="dxa" w:w="23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Eval suite</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Business scenarios you define, run against the real tools before every release.</w:t>
            </w:r>
          </w:p>
        </w:tc>
      </w:tr>
    </w:tbl>
    <w:p>
      <w:pPr>
        <w:spacing w:after="120"/>
      </w:pPr>
    </w:p>
    <w:p>
      <w:pPr>
        <w:pStyle w:val="Heading1"/>
      </w:pPr>
      <w:r>
        <w:t xml:space="preserve">CHOOSING YOUR PLATFORM</w:t>
      </w:r>
    </w:p>
    <w:p>
      <w:pPr>
        <w:spacing w:after="120"/>
      </w:pPr>
      <w:r>
        <w:t xml:space="preserve">Pick the platform you know best. There is no preferred answer; we serve clients on all three. The capabilities below are starting points, not a checklist. You don't need to use all of them, and you may use others. We care about why you chose what you chose and what you deliberately left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tcW w:type="dxa" w:w="18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Platform</w:t>
            </w:r>
          </w:p>
        </w:tc>
        <w:tc>
          <w:tcPr>
            <w:tcW w:type="dxa" w:w="75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Example native capabilities</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Snowflake</w:t>
            </w:r>
          </w:p>
        </w:tc>
        <w:tc>
          <w:tcPr>
            <w:tcW w:type="dxa" w:w="75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Cortex AI functions, Cortex Search, Cortex Agents, Cortex Analyst, Snowpark, Tasks, Streams and Dynamic Tables, Time Travel, Streamlit in Snowflake, role-based access and masking policies, AI Observability</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Databricks</w:t>
            </w:r>
          </w:p>
        </w:tc>
        <w:tc>
          <w:tcPr>
            <w:tcW w:type="dxa" w:w="75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Unity Catalog, Delta Lake, Lakeflow Jobs, Mosaic AI Vector Search, Foundation Model APIs, Mosaic AI Agent Framework, Unity Catalog functions as tools, MLflow Tracing and evaluation, Databricks Apps</w:t>
            </w:r>
          </w:p>
        </w:tc>
      </w:tr>
      <w:tr>
        <w:trPr>
          <w:cantSplit/>
        </w:trPr>
        <w:tc>
          <w:tcPr>
            <w:tcW w:type="dxa" w:w="18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AWS</w:t>
            </w:r>
          </w:p>
        </w:tc>
        <w:tc>
          <w:tcPr>
            <w:tcW w:type="dxa" w:w="75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Amazon Bedrock (models, Knowledge Bases, Agents, Guardrails, evaluations), S3, Glue and Athena, Aurora PostgreSQL, Lambda, Step Functions, EventBridge, IAM, CloudWatch and X-Ray</w:t>
            </w:r>
          </w:p>
        </w:tc>
      </w:tr>
    </w:tbl>
    <w:p>
      <w:pPr>
        <w:spacing w:after="120"/>
      </w:pPr>
    </w:p>
    <w:p>
      <w:pPr>
        <w:pStyle w:val="Heading2"/>
      </w:pPr>
      <w:r>
        <w:t xml:space="preserve">YOUR ENVIRONMENT</w:t>
      </w:r>
    </w:p>
    <w:p>
      <w:pPr>
        <w:pStyle w:val="ListParagraph"/>
        <w:numPr>
          <w:ilvl w:val="0"/>
          <w:numId w:val="2"/>
        </w:numPr>
      </w:pPr>
      <w:r>
        <w:rPr>
          <w:b/>
          <w:bCs/>
        </w:rPr>
        <w:t xml:space="preserve">Your own account.</w:t>
      </w:r>
      <w:r>
        <w:t xml:space="preserve"> A trial, free edition, or personal account is fine. If you incur platform costs, we will reimburse up to $25 with receipts.</w:t>
      </w:r>
    </w:p>
    <w:p>
      <w:pPr>
        <w:pStyle w:val="ListParagraph"/>
        <w:numPr>
          <w:ilvl w:val="0"/>
          <w:numId w:val="2"/>
        </w:numPr>
      </w:pPr>
      <w:r>
        <w:rPr>
          <w:b/>
          <w:bCs/>
        </w:rPr>
        <w:t xml:space="preserve">An Ambit-provided Snowflake sandbox.</w:t>
      </w:r>
      <w:r>
        <w:t xml:space="preserve"> Ask for one when you accept the exercise. It has a credit cap, and access is removed after review.</w:t>
      </w:r>
    </w:p>
    <w:p>
      <w:pPr>
        <w:pStyle w:val="Heading1"/>
      </w:pPr>
      <w:r>
        <w:t xml:space="preserve">PART 01: IMPLEMENTATION PLAN</w:t>
      </w:r>
    </w:p>
    <w:p>
      <w:pPr>
        <w:spacing w:after="120"/>
      </w:pPr>
      <w:r>
        <w:t xml:space="preserve">Write the plan you would hand your technical lead before you start building. It should be specific enough for another engineer to implement. Keep it to six pages plus appendices; diagrams are welcome. Cover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6360"/>
      </w:tblGrid>
      <w:tr>
        <w:trPr>
          <w:tblHeader/>
        </w:trPr>
        <w:tc>
          <w:tcPr>
            <w:tcW w:type="dxa" w:w="6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p>
        </w:tc>
        <w:tc>
          <w:tcPr>
            <w:tcW w:type="dxa" w:w="24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Section</w:t>
            </w:r>
          </w:p>
        </w:tc>
        <w:tc>
          <w:tcPr>
            <w:tcW w:type="dxa" w:w="63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What to include</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01</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Capability mapping</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For each need (reference data storage and refresh, retrieval, LLM and tool orchestration, validation, review workflow, permissions, tracing, evaluation), the platform feature you will use, why, and the main alternative you rejected.</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02</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Data model</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Tables or objects, keys, how reference versions and effective dates are handled, and your codebook output schema (start from the standard schema below).</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03</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Pipeline flow</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Each step from disease-area input to approved codebook. Mark each step as AI or deterministic, and say why.</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04</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Security and data handling</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Identities, roles and grants; how the claims table's PHI-like fields are protected; how secrets are handled.</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05</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Evaluation plan</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The scenarios you will test, what passing means for each, and how evaluations run, including how they could become a release check.</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06</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Operations</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How a quarterly crosswalk update flows through the system, what you would monitor, the main cost drivers, and how you would control them.</w:t>
            </w:r>
          </w:p>
        </w:tc>
      </w:tr>
      <w:tr>
        <w:trPr>
          <w:cantSplit/>
        </w:trPr>
        <w:tc>
          <w:tcPr>
            <w:tcW w:type="dxa" w:w="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07</w:t>
            </w:r>
          </w:p>
        </w:tc>
        <w:tc>
          <w:tcPr>
            <w:tcW w:type="dxa" w:w="24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rPr>
                <w:b/>
                <w:bCs/>
              </w:rPr>
              <w:t xml:space="preserve">Scope and risks</w:t>
            </w:r>
          </w:p>
        </w:tc>
        <w:tc>
          <w:tcPr>
            <w:tcW w:type="dxa" w:w="63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What your Part 02 build covers, what it defers, and the risks you see.</w:t>
            </w:r>
          </w:p>
        </w:tc>
      </w:tr>
    </w:tbl>
    <w:p>
      <w:pPr>
        <w:spacing w:after="120"/>
      </w:pPr>
    </w:p>
    <w:p>
      <w:pPr>
        <w:pStyle w:val="Heading1"/>
      </w:pPr>
      <w:r>
        <w:t xml:space="preserve">PART 02: THIN-SLICE BUILD</w:t>
      </w:r>
    </w:p>
    <w:p>
      <w:pPr>
        <w:spacing w:after="120"/>
      </w:pPr>
      <w:r>
        <w:t xml:space="preserve">Build a working end-to-end slice of your plan, focused on the drug portion of the codebook, where precision matters most. Diagnosis codes are a stretch goal.</w:t>
      </w:r>
    </w:p>
    <w:p>
      <w:pPr>
        <w:pStyle w:val="Heading2"/>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rPr>
          <w:tblHeader/>
        </w:trPr>
        <w:tc>
          <w:tcPr>
            <w:tcW w:type="dxa" w:w="7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p>
        </w:tc>
        <w:tc>
          <w:tcPr>
            <w:tcW w:type="dxa" w:w="86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Requirement</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R01</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Accept a disease area as input. The data pack is built around hereditary angioedema (HAE). Don't hard-code it; we may try a different disease area in the follow-up.</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R02</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Load the provided reference files into your platform as versioned reference data.</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R03</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Use an LLM, grounded in the reference data, to identify candidate drugs for the disease area, with a rationale and evidence for each.</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R04</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Resolve drugs to NDCs and NDCs to J-codes deterministically using the crosswalk, respecting effective dates. Apply the billing rules (below) to tag each product with its expected claims channel and billing unit. Products with no J-code, such as oral drugs dispensed through pharmacy, must be identified as such, not forced into a billing code.</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R05</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Validate every code in the draft against the reference tables. Rejected codes are recorded with a reason, not silently dropped.</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R06</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Add code frequency from the synthetic claims table as an aggregate. No patient-level data appears in the codebook.</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R07</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Write the draft codebook in the standard schema, with reference versions recorded.</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R08</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Provide a review step where a reviewer can see the draft, accept or reject rows, and approve the codebook. A simple app, notebook, or SQL-driven workflow is fine; function matters more than polish.</w:t>
            </w:r>
          </w:p>
        </w:tc>
      </w:tr>
    </w:tbl>
    <w:p>
      <w:pPr>
        <w:spacing w:after="120"/>
      </w:pPr>
    </w:p>
    <w:p>
      <w:pPr>
        <w:pStyle w:val="Heading2"/>
      </w:pPr>
      <w:r>
        <w:t xml:space="preserve">BILLING RULES</w:t>
      </w:r>
    </w:p>
    <w:p>
      <w:pPr>
        <w:spacing w:after="120"/>
      </w:pPr>
      <w:r>
        <w:t xml:space="preserve">Finding the right codes is half the job. A codebook also has to say where each product will appear in claims data and how to count it, and that depends on how the drug is given. The reference files don't state this directly; analysts apply it from experience. In this system those rules are data that analysts own, not instructions in a prompt.</w:t>
      </w:r>
    </w:p>
    <w:p>
      <w:pPr>
        <w:spacing w:after="120"/>
      </w:pPr>
      <w:r>
        <w:rPr>
          <w:b/>
          <w:bCs/>
        </w:rPr>
        <w:t xml:space="preserve">Worked example (not HAE).</w:t>
      </w:r>
      <w:r>
        <w:t xml:space="preserve"> Methotrexate comes as an oral tablet and as an injection. The tablet is dispensed by a pharmacy, so it appears on pharmacy claims and is matched by NDC. The injection is given in a clinic, so it appears on medical claims under a HCPCS J-code, counted in that code's billing unit. Same molecule, different formulation, different claims channel and code. The codes themselves always come from the reference files, never from the rules table.</w:t>
      </w:r>
    </w:p>
    <w:p>
      <w:pPr>
        <w:spacing w:after="120"/>
      </w:pPr>
      <w:r>
        <w:t xml:space="preserve">The data pack includes a starter file, billing_rules.csv, with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700"/>
        <w:gridCol w:w="4760"/>
      </w:tblGrid>
      <w:tr>
        <w:trPr>
          <w:tblHeader/>
        </w:trPr>
        <w:tc>
          <w:tcPr>
            <w:tcW w:type="dxa" w:w="9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Rule</w:t>
            </w:r>
          </w:p>
        </w:tc>
        <w:tc>
          <w:tcPr>
            <w:tcW w:type="dxa" w:w="37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When</w:t>
            </w:r>
          </w:p>
        </w:tc>
        <w:tc>
          <w:tcPr>
            <w:tcW w:type="dxa" w:w="47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Then</w:t>
            </w:r>
          </w:p>
        </w:tc>
      </w:tr>
      <w:tr>
        <w:trPr>
          <w:cantSplit/>
        </w:trPr>
        <w:tc>
          <w:tcPr>
            <w:tcW w:type="dxa" w:w="9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BR-1</w:t>
            </w:r>
          </w:p>
        </w:tc>
        <w:tc>
          <w:tcPr>
            <w:tcW w:type="dxa" w:w="37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Route is oral (tablet, capsule, solution)</w:t>
            </w:r>
          </w:p>
        </w:tc>
        <w:tc>
          <w:tcPr>
            <w:tcW w:type="dxa" w:w="4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Pharmacy channel. Match by NDC. No J-code expected.</w:t>
            </w:r>
          </w:p>
        </w:tc>
      </w:tr>
      <w:tr>
        <w:trPr>
          <w:cantSplit/>
        </w:trPr>
        <w:tc>
          <w:tcPr>
            <w:tcW w:type="dxa" w:w="9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BR-2</w:t>
            </w:r>
          </w:p>
        </w:tc>
        <w:tc>
          <w:tcPr>
            <w:tcW w:type="dxa" w:w="37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Route is intravenous</w:t>
            </w:r>
          </w:p>
        </w:tc>
        <w:tc>
          <w:tcPr>
            <w:tcW w:type="dxa" w:w="4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Medical channel. J-code expected; count in the J-code's billing unit.</w:t>
            </w:r>
          </w:p>
        </w:tc>
      </w:tr>
      <w:tr>
        <w:trPr>
          <w:cantSplit/>
        </w:trPr>
        <w:tc>
          <w:tcPr>
            <w:tcW w:type="dxa" w:w="9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BR-3</w:t>
            </w:r>
          </w:p>
        </w:tc>
        <w:tc>
          <w:tcPr>
            <w:tcW w:type="dxa" w:w="37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Route is subcutaneous and the product is self-administered</w:t>
            </w:r>
          </w:p>
        </w:tc>
        <w:tc>
          <w:tcPr>
            <w:tcW w:type="dxa" w:w="4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Either channel. Track both the NDCs and the J-code, if one exists.</w:t>
            </w:r>
          </w:p>
        </w:tc>
      </w:tr>
      <w:tr>
        <w:trPr>
          <w:cantSplit/>
        </w:trPr>
        <w:tc>
          <w:tcPr>
            <w:tcW w:type="dxa" w:w="9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BR-4</w:t>
            </w:r>
          </w:p>
        </w:tc>
        <w:tc>
          <w:tcPr>
            <w:tcW w:type="dxa" w:w="37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 J-code is mapped to a package NDC</w:t>
            </w:r>
          </w:p>
        </w:tc>
        <w:tc>
          <w:tcPr>
            <w:tcW w:type="dxa" w:w="4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Billing units per package = package strength ÷ the J-code's unit (for example, a 300 mg vial on a 1 mg code is 300 units).</w:t>
            </w:r>
          </w:p>
        </w:tc>
      </w:tr>
      <w:tr>
        <w:trPr>
          <w:cantSplit/>
        </w:trPr>
        <w:tc>
          <w:tcPr>
            <w:tcW w:type="dxa" w:w="9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BR-5</w:t>
            </w:r>
          </w:p>
        </w:tc>
        <w:tc>
          <w:tcPr>
            <w:tcW w:type="dxa" w:w="37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Any crosswalk lookup</w:t>
            </w:r>
          </w:p>
        </w:tc>
        <w:tc>
          <w:tcPr>
            <w:tcW w:type="dxa" w:w="4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Use the crosswalk version in effect for the analysis period, not the latest.</w:t>
            </w:r>
          </w:p>
        </w:tc>
      </w:tr>
    </w:tbl>
    <w:p>
      <w:pPr>
        <w:spacing w:after="120"/>
      </w:pPr>
    </w:p>
    <w:p>
      <w:pPr>
        <w:keepNext/>
        <w:spacing w:after="120"/>
      </w:pPr>
      <w:r>
        <w:t xml:space="preserve">What we ask:</w:t>
      </w:r>
    </w:p>
    <w:p>
      <w:pPr>
        <w:pStyle w:val="ListParagraph"/>
        <w:numPr>
          <w:ilvl w:val="0"/>
          <w:numId w:val="2"/>
        </w:numPr>
      </w:pPr>
      <w:r>
        <w:t xml:space="preserve">Load the rules as data and apply them in the resolve step. Changing a rule should not require changing code or prompts.</w:t>
      </w:r>
    </w:p>
    <w:p>
      <w:pPr>
        <w:pStyle w:val="ListParagraph"/>
        <w:numPr>
          <w:ilvl w:val="0"/>
          <w:numId w:val="2"/>
        </w:numPr>
      </w:pPr>
      <w:r>
        <w:t xml:space="preserve">The starter file is deliberately incomplete. Add at least one rule that the HAE data shows you need, explain why in your plan, and cover it with a test.</w:t>
      </w:r>
    </w:p>
    <w:p>
      <w:pPr>
        <w:pStyle w:val="ListParagraph"/>
        <w:numPr>
          <w:ilvl w:val="0"/>
          <w:numId w:val="2"/>
        </w:numPr>
      </w:pPr>
      <w:r>
        <w:t xml:space="preserve">If a rule doesn't match a product, flag the product for the reviewer rather than guessing.</w:t>
      </w:r>
    </w:p>
    <w:p>
      <w:pPr>
        <w:spacing w:after="120"/>
      </w:pPr>
    </w:p>
    <w:p>
      <w:pPr>
        <w:pStyle w:val="Heading2"/>
      </w:pPr>
      <w:r>
        <w:t xml:space="preserve">ENGINEERING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660"/>
      </w:tblGrid>
      <w:tr>
        <w:trPr>
          <w:tblHeader/>
        </w:trPr>
        <w:tc>
          <w:tcPr>
            <w:tcW w:type="dxa" w:w="7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p>
        </w:tc>
        <w:tc>
          <w:tcPr>
            <w:tcW w:type="dxa" w:w="86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Requirement</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E01</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Automated tests for the deterministic logic: mapping, validation, and versioning.</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E02</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An evaluation set of at least ten scenarios, run by a script or job, with results reported. Include at least: a drug with many NDCs mapping to one J-code; a formulation with no J-code; a fabricated or retired code proposed by the model; a mapping that changed between crosswalk quarters; a self-administered injectable that appears on both pharmacy and medical claims; a recently approved drug that has no permanent J-code yet; and a disease term the model could confuse with a similar condition.</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E03</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Tracing that covers model calls, tool or function calls, and validation outcomes.</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E04</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 least-privilege identity for the application, and no secrets in source control.</w:t>
            </w:r>
          </w:p>
        </w:tc>
      </w:tr>
      <w:tr>
        <w:trPr>
          <w:cantSplit/>
        </w:trPr>
        <w:tc>
          <w:tcPr>
            <w:tcW w:type="dxa" w:w="7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t xml:space="preserve">E05</w:t>
            </w:r>
          </w:p>
        </w:tc>
        <w:tc>
          <w:tcPr>
            <w:tcW w:type="dxa" w:w="86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Repeatable setup (scripts, infrastructure as code, or a bundle) so a reviewer can recreate your environment from your repository.</w:t>
            </w:r>
          </w:p>
        </w:tc>
      </w:tr>
    </w:tbl>
    <w:p>
      <w:pPr>
        <w:spacing w:after="120"/>
      </w:pPr>
    </w:p>
    <w:p>
      <w:pPr>
        <w:pStyle w:val="Heading2"/>
      </w:pPr>
      <w:r>
        <w:t xml:space="preserve">STANDARD CODEBOOK SCHEMA</w:t>
      </w:r>
    </w:p>
    <w:p>
      <w:pPr>
        <w:spacing w:after="120"/>
      </w:pPr>
      <w:r>
        <w:t xml:space="preserve">This is the minimum. Extend it if your design needs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Column</w:t>
            </w:r>
          </w:p>
        </w:tc>
        <w:tc>
          <w:tcPr>
            <w:tcW w:type="dxa" w:w="67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Description</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codebook_id, codebook_version</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Identifies the codebook and its version</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disease_area</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Input disease area</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code, code_system</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The code and its system (ICD10CM, NDC, HCPCS, CPT)</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description</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Official description from the reference data</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group_name</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Logical grouping (for example, drug name or therapeutic class)</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related_code</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Linked code, such as the J-code for an NDC</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benefit_channel, billing_unit</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Expected claims channel (medical, pharmacy, or both) and billing unit, from the billing rules</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inclusion_rationale, evidence</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Why the code is included and the reference records that support it</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validation_status</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Valid, or rejected with a reason</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claims_frequency</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Aggregate count from the claims data</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reference_versions</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Versions of each reference set used</w:t>
            </w:r>
          </w:p>
        </w:tc>
      </w:tr>
      <w:tr>
        <w:trPr>
          <w:cantSplit/>
        </w:trPr>
        <w:tc>
          <w:tcPr>
            <w:tcW w:type="dxa" w:w="26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review_status, reviewed_by, reviewed_at</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Review outcome and who approved it, when</w:t>
            </w:r>
          </w:p>
        </w:tc>
      </w:tr>
    </w:tbl>
    <w:p>
      <w:pPr>
        <w:spacing w:after="120"/>
      </w:pPr>
    </w:p>
    <w:p>
      <w:pPr>
        <w:pStyle w:val="Heading2"/>
      </w:pPr>
      <w:r>
        <w:t xml:space="preserve">OUT OF SCOPE</w:t>
      </w:r>
    </w:p>
    <w:p>
      <w:pPr>
        <w:pStyle w:val="ListParagraph"/>
        <w:numPr>
          <w:ilvl w:val="0"/>
          <w:numId w:val="2"/>
        </w:numPr>
      </w:pPr>
      <w:r>
        <w:t xml:space="preserve">A polished, production-grade user interface.</w:t>
      </w:r>
    </w:p>
    <w:p>
      <w:pPr>
        <w:pStyle w:val="ListParagraph"/>
        <w:numPr>
          <w:ilvl w:val="0"/>
          <w:numId w:val="2"/>
        </w:numPr>
      </w:pPr>
      <w:r>
        <w:t xml:space="preserve">CI/CD pipelines. Describe your approach in the plan instead.</w:t>
      </w:r>
    </w:p>
    <w:p>
      <w:pPr>
        <w:pStyle w:val="ListParagraph"/>
        <w:numPr>
          <w:ilvl w:val="0"/>
          <w:numId w:val="2"/>
        </w:numPr>
      </w:pPr>
      <w:r>
        <w:t xml:space="preserve">Multi-team concurrency and scale-out. Mention it in the plan if you have views.</w:t>
      </w:r>
    </w:p>
    <w:p>
      <w:pPr>
        <w:pStyle w:val="ListParagraph"/>
        <w:numPr>
          <w:ilvl w:val="0"/>
          <w:numId w:val="2"/>
        </w:numPr>
      </w:pPr>
      <w:r>
        <w:t xml:space="preserve">Real patient data of any kind.</w:t>
      </w:r>
    </w:p>
    <w:p>
      <w:pPr>
        <w:pStyle w:val="Heading1"/>
      </w:pPr>
      <w:r>
        <w:t xml:space="preserve">DATA PACK</w:t>
      </w:r>
    </w:p>
    <w:p>
      <w:pPr>
        <w:spacing w:after="120"/>
      </w:pPr>
      <w:r>
        <w:t xml:space="preserve">The data pack is in the data-pack folder of the case study repository, github.com/Ambit-RD/ambit-implementation-case-study, with a README describing each file. Reference files are complete and unmodified; claims and CPT data are synthetic.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500"/>
        <w:gridCol w:w="4960"/>
      </w:tblGrid>
      <w:tr>
        <w:trPr>
          <w:tblHeader/>
        </w:trPr>
        <w:tc>
          <w:tcPr>
            <w:tcW w:type="dxa" w:w="29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File</w:t>
            </w:r>
          </w:p>
        </w:tc>
        <w:tc>
          <w:tcPr>
            <w:tcW w:type="dxa" w:w="15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Source</w:t>
            </w:r>
          </w:p>
        </w:tc>
        <w:tc>
          <w:tcPr>
            <w:tcW w:type="dxa" w:w="49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Notes</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ICD-10-CM code set, FY2027</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CMS, public</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Effective October 1, 2026; updated annually</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NDC Directory snapshot, October 19, 2026</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FDA, public</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Product and package files</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HCPCS Level II files, July and October 2026</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CMS, public</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Includes J-codes with effective and termination dates</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ASP NDC-HCPCS crosswalk, July and October 2026</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CMS, public</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Use both to show how you handle reference-version changes</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CPT procedure subset</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Synthetic</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CPT is licensed by the AMA, so we provide a synthetic stand-in with the same structure. Do not substitute real CPT content.</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Billing rules starter file</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Ambit</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Five starter rules (shown above). Deliberately incomplete.</w:t>
            </w:r>
          </w:p>
        </w:tc>
      </w:tr>
      <w:tr>
        <w:trPr>
          <w:cantSplit/>
        </w:trPr>
        <w:tc>
          <w:tcPr>
            <w:tcW w:type="dxa" w:w="29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Claims extract</w:t>
            </w:r>
          </w:p>
        </w:tc>
        <w:tc>
          <w:tcPr>
            <w:tcW w:type="dxa" w:w="150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Synthetic</w:t>
            </w:r>
          </w:p>
        </w:tc>
        <w:tc>
          <w:tcPr>
            <w:tcW w:type="dxa" w:w="49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Claim lines with PHI-like fields (names, dates of birth, member IDs). Entirely fictional; handle it as if it were real.</w:t>
            </w:r>
          </w:p>
        </w:tc>
      </w:tr>
    </w:tbl>
    <w:p>
      <w:pPr>
        <w:spacing w:after="120"/>
      </w:pPr>
    </w:p>
    <w:p>
      <w:pPr>
        <w:pStyle w:val="Heading1"/>
      </w:pPr>
      <w:r>
        <w:t xml:space="preserve">DELIVERABLES</w:t>
      </w:r>
    </w:p>
    <w:p>
      <w:pPr>
        <w:pStyle w:val="ListParagraph"/>
        <w:numPr>
          <w:ilvl w:val="0"/>
          <w:numId w:val="2"/>
        </w:numPr>
      </w:pPr>
      <w:r>
        <w:rPr>
          <w:b/>
          <w:bCs/>
        </w:rPr>
        <w:t xml:space="preserve">Implementation plan</w:t>
      </w:r>
      <w:r>
        <w:t xml:space="preserve"> (PDF or Markdown).</w:t>
      </w:r>
    </w:p>
    <w:p>
      <w:pPr>
        <w:pStyle w:val="ListParagraph"/>
        <w:numPr>
          <w:ilvl w:val="0"/>
          <w:numId w:val="2"/>
        </w:numPr>
      </w:pPr>
      <w:r>
        <w:rPr>
          <w:b/>
          <w:bCs/>
        </w:rPr>
        <w:t xml:space="preserve">Git repository</w:t>
      </w:r>
      <w:r>
        <w:t xml:space="preserve"> (shared link or zip) with code, setup, tests, evaluations, and a README with run steps.</w:t>
      </w:r>
    </w:p>
    <w:p>
      <w:pPr>
        <w:pStyle w:val="ListParagraph"/>
        <w:numPr>
          <w:ilvl w:val="0"/>
          <w:numId w:val="2"/>
        </w:numPr>
      </w:pPr>
      <w:r>
        <w:rPr>
          <w:b/>
          <w:bCs/>
        </w:rPr>
        <w:t xml:space="preserve">Outputs:</w:t>
      </w:r>
      <w:r>
        <w:t xml:space="preserve"> evaluation results and a sample draft codebook for HAE as CSV.</w:t>
      </w:r>
    </w:p>
    <w:p>
      <w:pPr>
        <w:pStyle w:val="ListParagraph"/>
        <w:numPr>
          <w:ilvl w:val="0"/>
          <w:numId w:val="2"/>
        </w:numPr>
      </w:pPr>
      <w:r>
        <w:rPr>
          <w:b/>
          <w:bCs/>
        </w:rPr>
        <w:t xml:space="preserve">Evidence:</w:t>
      </w:r>
      <w:r>
        <w:t xml:space="preserve"> screenshots of your traces and the review step.</w:t>
      </w:r>
    </w:p>
    <w:p>
      <w:pPr>
        <w:pStyle w:val="ListParagraph"/>
        <w:numPr>
          <w:ilvl w:val="0"/>
          <w:numId w:val="2"/>
        </w:numPr>
      </w:pPr>
      <w:r>
        <w:rPr>
          <w:b/>
          <w:bCs/>
        </w:rPr>
        <w:t xml:space="preserve">Walkthrough:</w:t>
      </w:r>
      <w:r>
        <w:t xml:space="preserve"> a 5–10 minute recording of the system running.</w:t>
      </w:r>
    </w:p>
    <w:p>
      <w:pPr>
        <w:pStyle w:val="ListParagraph"/>
        <w:numPr>
          <w:ilvl w:val="0"/>
          <w:numId w:val="2"/>
        </w:numPr>
      </w:pPr>
      <w:r>
        <w:rPr>
          <w:b/>
          <w:bCs/>
        </w:rPr>
        <w:t xml:space="preserve">AI tools note:</w:t>
      </w:r>
      <w:r>
        <w:t xml:space="preserve"> a short paragraph on which tools you used, for what, and anything you corrected or would do differently.</w:t>
      </w:r>
    </w:p>
    <w:p>
      <w:pPr>
        <w:spacing w:after="120" w:before="120"/>
      </w:pPr>
      <w:r>
        <w:t xml:space="preserve">Please submit within two days of receiving the exercise to innovation@ambitinc.com.</w:t>
      </w:r>
    </w:p>
    <w:p>
      <w:pPr>
        <w:pStyle w:val="Heading1"/>
      </w:pPr>
      <w:r>
        <w:t xml:space="preserve">FOLLOW-UP SESSION</w:t>
      </w:r>
    </w:p>
    <w:p>
      <w:pPr>
        <w:spacing w:after="120"/>
      </w:pPr>
      <w:r>
        <w:t xml:space="preserve">A 60-minute session with members of our engineering team:</w:t>
      </w:r>
    </w:p>
    <w:p>
      <w:pPr>
        <w:pStyle w:val="ListParagraph"/>
        <w:numPr>
          <w:ilvl w:val="0"/>
          <w:numId w:val="2"/>
        </w:numPr>
      </w:pPr>
      <w:r>
        <w:rPr>
          <w:b/>
          <w:bCs/>
        </w:rPr>
        <w:t xml:space="preserve">15 minutes:</w:t>
      </w:r>
      <w:r>
        <w:t xml:space="preserve"> you walk us through your plan and build.</w:t>
      </w:r>
    </w:p>
    <w:p>
      <w:pPr>
        <w:pStyle w:val="ListParagraph"/>
        <w:numPr>
          <w:ilvl w:val="0"/>
          <w:numId w:val="2"/>
        </w:numPr>
      </w:pPr>
      <w:r>
        <w:rPr>
          <w:b/>
          <w:bCs/>
        </w:rPr>
        <w:t xml:space="preserve">30 minutes:</w:t>
      </w:r>
      <w:r>
        <w:t xml:space="preserve"> we give you a realistic change request to make in your own build while sharing your screen. Use your usual tools, AI assistants included. We are interested in how you investigate and verify, not in speed.</w:t>
      </w:r>
    </w:p>
    <w:p>
      <w:pPr>
        <w:pStyle w:val="ListParagraph"/>
        <w:numPr>
          <w:ilvl w:val="0"/>
          <w:numId w:val="2"/>
        </w:numPr>
      </w:pPr>
      <w:r>
        <w:rPr>
          <w:b/>
          <w:bCs/>
        </w:rPr>
        <w:t xml:space="preserve">15 minutes:</w:t>
      </w:r>
      <w:r>
        <w:t xml:space="preserve"> trade-offs, what you would do next for production, and your questions.</w:t>
      </w:r>
    </w:p>
    <w:p>
      <w:pPr>
        <w:pStyle w:val="Heading1"/>
      </w:pPr>
      <w:r>
        <w:t xml:space="preserve">HOW WE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Area</w:t>
            </w:r>
          </w:p>
        </w:tc>
        <w:tc>
          <w:tcPr>
            <w:tcW w:type="dxa" w:w="6760"/>
            <w:tcBorders>
              <w:top w:val="single" w:color="191919" w:sz="4"/>
              <w:left w:val="none" w:color="FFFFFF" w:sz="0"/>
              <w:bottom w:val="single" w:color="191919" w:sz="4"/>
              <w:right w:val="none" w:color="FFFFFF" w:sz="0"/>
            </w:tcBorders>
            <w:shd w:fill="AAA0FF" w:color="auto" w:val="clear"/>
            <w:tcMar>
              <w:top w:type="dxa" w:w="100"/>
              <w:left w:type="dxa" w:w="144"/>
              <w:bottom w:type="dxa" w:w="100"/>
              <w:right w:type="dxa" w:w="144"/>
            </w:tcMar>
          </w:tcPr>
          <w:p>
            <w:pPr>
              <w:spacing w:after="40" w:before="0"/>
            </w:pPr>
            <w:r>
              <w:rPr>
                <w:b/>
                <w:bCs/>
              </w:rPr>
              <w:t xml:space="preserve">What we look for</w:t>
            </w:r>
          </w:p>
        </w:tc>
      </w:tr>
      <w:tr>
        <w:trPr>
          <w:cantSplit/>
        </w:trPr>
        <w:tc>
          <w:tcPr>
            <w:tcW w:type="dxa" w:w="2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Platform judgment</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Native features chosen for clear reasons; custom code where it adds value, not where the platform already solves the problem</w:t>
            </w:r>
          </w:p>
        </w:tc>
      </w:tr>
      <w:tr>
        <w:trPr>
          <w:cantSplit/>
        </w:trPr>
        <w:tc>
          <w:tcPr>
            <w:tcW w:type="dxa" w:w="2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Correctness and grounding</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Deterministic logic where precision matters; no unvalidated codes; correct handling of formulation and effective dates</w:t>
            </w:r>
          </w:p>
        </w:tc>
      </w:tr>
      <w:tr>
        <w:trPr>
          <w:cantSplit/>
        </w:trPr>
        <w:tc>
          <w:tcPr>
            <w:tcW w:type="dxa" w:w="2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Testing and evaluation</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Meaningful scenarios, honestly reported results, and failures investigated rather than hidden</w:t>
            </w:r>
          </w:p>
        </w:tc>
      </w:tr>
      <w:tr>
        <w:trPr>
          <w:cantSplit/>
        </w:trPr>
        <w:tc>
          <w:tcPr>
            <w:tcW w:type="dxa" w:w="2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Security and data handling</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Least privilege, protection of PHI-like data, and sound secrets handling</w:t>
            </w:r>
          </w:p>
        </w:tc>
      </w:tr>
      <w:tr>
        <w:trPr>
          <w:cantSplit/>
        </w:trPr>
        <w:tc>
          <w:tcPr>
            <w:tcW w:type="dxa" w:w="2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Operability</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Traceable behavior, reproducible setup, and a credible reference-data refresh path</w:t>
            </w:r>
          </w:p>
        </w:tc>
      </w:tr>
      <w:tr>
        <w:trPr>
          <w:cantSplit/>
        </w:trPr>
        <w:tc>
          <w:tcPr>
            <w:tcW w:type="dxa" w:w="2600"/>
            <w:tcBorders>
              <w:top w:val="single" w:color="191919" w:sz="4"/>
              <w:left w:val="none" w:color="FFFFFF" w:sz="0"/>
              <w:bottom w:val="single" w:color="191919" w:sz="4"/>
              <w:right w:val="none" w:color="FFFFFF" w:sz="0"/>
            </w:tcBorders>
            <w:shd w:fill="EAE7FF" w:color="auto" w:val="clear"/>
            <w:tcMar>
              <w:top w:type="dxa" w:w="100"/>
              <w:left w:type="dxa" w:w="144"/>
              <w:bottom w:type="dxa" w:w="100"/>
              <w:right w:type="dxa" w:w="144"/>
            </w:tcMar>
          </w:tcPr>
          <w:p>
            <w:pPr>
              <w:spacing w:after="40" w:before="0"/>
            </w:pPr>
            <w:r>
              <w:rPr>
                <w:b/>
                <w:bCs/>
              </w:rPr>
              <w:t xml:space="preserve">Communication</w:t>
            </w:r>
          </w:p>
        </w:tc>
        <w:tc>
          <w:tcPr>
            <w:tcW w:type="dxa" w:w="6760"/>
            <w:tcBorders>
              <w:top w:val="single" w:color="191919" w:sz="4"/>
              <w:left w:val="none" w:color="FFFFFF" w:sz="0"/>
              <w:bottom w:val="single" w:color="191919" w:sz="4"/>
              <w:right w:val="none" w:color="FFFFFF" w:sz="0"/>
            </w:tcBorders>
            <w:tcMar>
              <w:top w:type="dxa" w:w="100"/>
              <w:left w:type="dxa" w:w="144"/>
              <w:bottom w:type="dxa" w:w="100"/>
              <w:right w:type="dxa" w:w="144"/>
            </w:tcMar>
          </w:tcPr>
          <w:p>
            <w:pPr>
              <w:spacing w:after="40" w:before="0"/>
            </w:pPr>
            <w:r>
              <w:t xml:space="preserve">A clear plan, and candor about trade-offs and gaps</w:t>
            </w:r>
          </w:p>
        </w:tc>
      </w:tr>
    </w:tbl>
    <w:p>
      <w:pPr>
        <w:spacing w:after="120"/>
      </w:pPr>
    </w:p>
    <w:p>
      <w:pPr>
        <w:spacing w:after="120"/>
      </w:pPr>
      <w:r>
        <w:rPr>
          <w:i/>
          <w:iCs/>
        </w:rPr>
        <w:t xml:space="preserve">A partial build with honest gaps scores better than a complete-looking build that hides problems.</w:t>
      </w:r>
    </w:p>
    <w:p>
      <w:pPr>
        <w:pStyle w:val="Heading1"/>
      </w:pPr>
      <w:r>
        <w:t xml:space="preserve">QUESTIONS</w:t>
      </w:r>
    </w:p>
    <w:p>
      <w:pPr>
        <w:spacing w:after="120"/>
      </w:pPr>
      <w:r>
        <w:t xml:space="preserve">Ask us anything, the way you would ask a technical lead on a project. Clarifying questions are a normal part of the work and count in your favor. All data in this exercise is public or fictional, and your work remains yours; we will not use it in client delivery.</w:t>
      </w:r>
    </w:p>
    <w:sectPr>
      <w:headerReference w:type="default" r:id="rId10"/>
      <w:footerReference w:type="default" r:id="rId11"/>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191919"/>
        <w:sz w:val="16"/>
        <w:szCs w:val="16"/>
      </w:rPr>
      <w:fldChar w:fldCharType="begin"/>
    </w:r>
    <w:r>
      <w:rPr>
        <w:color w:val="191919"/>
        <w:sz w:val="16"/>
        <w:szCs w:val="16"/>
      </w:rPr>
      <w:instrText xml:space="preserve">PAGE</w:instrText>
    </w:r>
    <w:r>
      <w:rPr>
        <w:color w:val="191919"/>
        <w:sz w:val="16"/>
        <w:szCs w:val="16"/>
      </w:rPr>
      <w:fldChar w:fldCharType="separate"/>
    </w:r>
    <w:r>
      <w:rPr>
        <w:color w:val="19191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191919"/>
        <w:sz w:val="16"/>
        <w:szCs w:val="16"/>
      </w:rPr>
      <w:fldChar w:fldCharType="begin"/>
    </w:r>
    <w:r>
      <w:rPr>
        <w:color w:val="191919"/>
        <w:sz w:val="16"/>
        <w:szCs w:val="16"/>
      </w:rPr>
      <w:instrText xml:space="preserve">PAGE</w:instrText>
    </w:r>
    <w:r>
      <w:rPr>
        <w:color w:val="191919"/>
        <w:sz w:val="16"/>
        <w:szCs w:val="16"/>
      </w:rPr>
      <w:fldChar w:fldCharType="separate"/>
    </w:r>
    <w:r>
      <w:rPr>
        <w:color w:val="191919"/>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191919"/>
        <w:sz w:val="16"/>
        <w:szCs w:val="16"/>
      </w:rPr>
      <w:fldChar w:fldCharType="begin"/>
    </w:r>
    <w:r>
      <w:rPr>
        <w:color w:val="191919"/>
        <w:sz w:val="16"/>
        <w:szCs w:val="16"/>
      </w:rPr>
      <w:instrText xml:space="preserve">PAGE</w:instrText>
    </w:r>
    <w:r>
      <w:rPr>
        <w:color w:val="191919"/>
        <w:sz w:val="16"/>
        <w:szCs w:val="16"/>
      </w:rPr>
      <w:fldChar w:fldCharType="separate"/>
    </w:r>
    <w:r>
      <w:rPr>
        <w:color w:val="19191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191919"/>
        <w:spacing w:val="40"/>
        <w:sz w:val="16"/>
        <w:szCs w:val="16"/>
      </w:rPr>
      <w:t xml:space="preserve">AMBIT  ·  IMPLEMENTATION CASE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191919"/>
        <w:spacing w:val="40"/>
        <w:sz w:val="16"/>
        <w:szCs w:val="16"/>
      </w:rPr>
      <w:t xml:space="preserve">AMBIT  ·  IMPLEMENTATION CASE STUDY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191919"/>
        <w:spacing w:val="40"/>
        <w:sz w:val="16"/>
        <w:szCs w:val="16"/>
      </w:rPr>
      <w:t xml:space="preserve">AMBIT  ·  IMPLEMENTATION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40" w:before="60"/>
        <w:ind w:left="274" w:hanging="274"/>
      </w:pPr>
    </w:lvl>
  </w:abstractNum>
  <w:abstractNum w:abstractNumId="3" w15:restartNumberingAfterBreak="0">
    <w:multiLevelType w:val="hybridMultilevel"/>
    <w:lvl w:ilvl="0" w:tentative="1">
      <w:start w:val="1"/>
      <w:numFmt w:val="bullet"/>
      <w:lvlText w:val="—"/>
      <w:lvlJc w:val="left"/>
      <w:pPr>
        <w:spacing w:after="30" w:before="30"/>
        <w:ind w:left="994" w:hanging="27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LT Pro" w:cs="Avenir Next LT Pro" w:eastAsia="Avenir Next LT Pro" w:hAnsi="Avenir Next LT Pro"/>
        <w:color w:val="000000"/>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left w:val="single" w:color="AAA0FF" w:sz="36" w:space="8"/>
      </w:pBdr>
      <w:spacing w:after="160" w:before="360"/>
      <w:ind w:left="160"/>
      <w:outlineLvl w:val="0"/>
    </w:pPr>
    <w:rPr>
      <w:rFonts w:ascii="Avenir Next LT Pro" w:cs="Avenir Next LT Pro" w:eastAsia="Avenir Next LT Pro" w:hAnsi="Avenir Next LT Pro"/>
      <w:color w:val="000000"/>
      <w:spacing w:val="50"/>
      <w:sz w:val="26"/>
      <w:szCs w:val="26"/>
    </w:rPr>
  </w:style>
  <w:style w:type="paragraph" w:styleId="Heading2">
    <w:name w:val="Heading 2"/>
    <w:basedOn w:val="Normal"/>
    <w:next w:val="Normal"/>
    <w:qFormat/>
    <w:pPr>
      <w:keepNext/>
      <w:spacing w:after="100" w:before="240"/>
      <w:outlineLvl w:val="1"/>
    </w:pPr>
    <w:rPr>
      <w:rFonts w:ascii="Avenir Next LT Pro" w:cs="Avenir Next LT Pro" w:eastAsia="Avenir Next LT Pro" w:hAnsi="Avenir Next LT Pro"/>
      <w:color w:val="191919"/>
      <w:spacing w:val="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334387c94c722f51b4efb6cbb81d996ab6191fb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Case Study: AI-Assisted Medical Codebook Generation</dc:title>
  <dc:creator>Ambit Digital Transformation</dc:creator>
  <cp:lastModifiedBy>Un-named</cp:lastModifiedBy>
  <cp:revision>1</cp:revision>
  <dcterms:created xsi:type="dcterms:W3CDTF">2026-10-19T20:45:37.342Z</dcterms:created>
  <dcterms:modified xsi:type="dcterms:W3CDTF">2026-10-19T20:45:37.342Z</dcterms:modified>
</cp:coreProperties>
</file>

<file path=docProps/custom.xml><?xml version="1.0" encoding="utf-8"?>
<Properties xmlns="http://schemas.openxmlformats.org/officeDocument/2006/custom-properties" xmlns:vt="http://schemas.openxmlformats.org/officeDocument/2006/docPropsVTypes"/>
</file>