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A62C9" w14:textId="171D0E91" w:rsidR="00FE580B" w:rsidRDefault="006C0AD7">
      <w:pPr>
        <w:rPr>
          <w:b/>
          <w:bCs/>
          <w:sz w:val="32"/>
          <w:szCs w:val="32"/>
        </w:rPr>
      </w:pPr>
      <w:r w:rsidRPr="006C0AD7">
        <w:rPr>
          <w:b/>
          <w:bCs/>
          <w:sz w:val="32"/>
          <w:szCs w:val="32"/>
        </w:rPr>
        <w:t xml:space="preserve">Problems in V3 according to </w:t>
      </w:r>
      <w:proofErr w:type="spellStart"/>
      <w:r w:rsidRPr="006C0AD7">
        <w:rPr>
          <w:b/>
          <w:bCs/>
          <w:sz w:val="32"/>
          <w:szCs w:val="32"/>
        </w:rPr>
        <w:t>claude</w:t>
      </w:r>
      <w:proofErr w:type="spellEnd"/>
    </w:p>
    <w:p w14:paraId="4DEB532A" w14:textId="77777777" w:rsidR="006C0AD7" w:rsidRDefault="006C0AD7">
      <w:pPr>
        <w:rPr>
          <w:b/>
          <w:bCs/>
          <w:sz w:val="32"/>
          <w:szCs w:val="32"/>
        </w:rPr>
      </w:pPr>
    </w:p>
    <w:p w14:paraId="4523947E" w14:textId="77777777" w:rsidR="006C0AD7" w:rsidRPr="006C0AD7" w:rsidRDefault="006C0AD7" w:rsidP="006C0AD7">
      <w:pPr>
        <w:rPr>
          <w:b/>
          <w:bCs/>
          <w:szCs w:val="24"/>
        </w:rPr>
      </w:pPr>
      <w:r w:rsidRPr="006C0AD7">
        <w:rPr>
          <w:b/>
          <w:bCs/>
          <w:szCs w:val="24"/>
        </w:rPr>
        <w:t>V3 Review</w:t>
      </w:r>
    </w:p>
    <w:p w14:paraId="01048337" w14:textId="77777777" w:rsidR="006C0AD7" w:rsidRPr="006C0AD7" w:rsidRDefault="006C0AD7" w:rsidP="006C0AD7">
      <w:pPr>
        <w:rPr>
          <w:szCs w:val="24"/>
        </w:rPr>
      </w:pPr>
      <w:r w:rsidRPr="006C0AD7">
        <w:rPr>
          <w:szCs w:val="24"/>
        </w:rPr>
        <w:t>Strong revision — I want to say that plainly before anything else. Every high-priority item from the original review is fixed, and fixed well, not just patched. I re-verified the citation-completeness issue and fact-checked the new claims you added.</w:t>
      </w:r>
    </w:p>
    <w:p w14:paraId="252A7580" w14:textId="77777777" w:rsidR="006C0AD7" w:rsidRPr="006C0AD7" w:rsidRDefault="006C0AD7" w:rsidP="006C0AD7">
      <w:pPr>
        <w:rPr>
          <w:szCs w:val="24"/>
        </w:rPr>
      </w:pPr>
      <w:r w:rsidRPr="006C0AD7">
        <w:rPr>
          <w:szCs w:val="24"/>
        </w:rPr>
        <w:t xml:space="preserve">Confirmed fixed: all five previously uncited references ([13], [16], [28], [30], [41]) are now genuinely integrated, not just dropped in for a citation count — the McBain et al. stat opens your Introduction with real force, and the </w:t>
      </w:r>
      <w:proofErr w:type="spellStart"/>
      <w:r w:rsidRPr="006C0AD7">
        <w:rPr>
          <w:szCs w:val="24"/>
        </w:rPr>
        <w:t>Herpertz</w:t>
      </w:r>
      <w:proofErr w:type="spellEnd"/>
      <w:r w:rsidRPr="006C0AD7">
        <w:rPr>
          <w:szCs w:val="24"/>
        </w:rPr>
        <w:t xml:space="preserve"> et al. FDA device-lineage citation adds actual teeth to Section 4.4 instead of just gesturing at "future regulatory engagement." The Digital Wellbeing reframing, the keystroke-capture honesty in 3.2, and the </w:t>
      </w:r>
      <w:proofErr w:type="spellStart"/>
      <w:r w:rsidRPr="006C0AD7">
        <w:rPr>
          <w:szCs w:val="24"/>
        </w:rPr>
        <w:t>MindGuard</w:t>
      </w:r>
      <w:proofErr w:type="spellEnd"/>
      <w:r w:rsidRPr="006C0AD7">
        <w:rPr>
          <w:szCs w:val="24"/>
        </w:rPr>
        <w:t xml:space="preserve"> integration in 3.6 are all exactly the substance I'd hoped for — 3.6 in particular is genuinely well done: it scopes the classifier correctly, explicitly closes off the ambient-capture reading, and names its own open question (Tele MANAS routing for harm-to-others) instead of quietly assuming it away.</w:t>
      </w:r>
    </w:p>
    <w:p w14:paraId="68EA82E5" w14:textId="77777777" w:rsidR="006C0AD7" w:rsidRPr="006C0AD7" w:rsidRDefault="006C0AD7" w:rsidP="006C0AD7">
      <w:pPr>
        <w:rPr>
          <w:szCs w:val="24"/>
        </w:rPr>
      </w:pPr>
      <w:r w:rsidRPr="006C0AD7">
        <w:rPr>
          <w:szCs w:val="24"/>
        </w:rPr>
        <w:t>New claims, fact-checked:</w:t>
      </w:r>
    </w:p>
    <w:p w14:paraId="07AC76E8" w14:textId="77777777" w:rsidR="006C0AD7" w:rsidRPr="006C0AD7" w:rsidRDefault="006C0AD7" w:rsidP="006C0AD7">
      <w:pPr>
        <w:numPr>
          <w:ilvl w:val="0"/>
          <w:numId w:val="1"/>
        </w:numPr>
        <w:rPr>
          <w:szCs w:val="24"/>
        </w:rPr>
      </w:pPr>
      <w:r w:rsidRPr="006C0AD7">
        <w:rPr>
          <w:szCs w:val="24"/>
        </w:rPr>
        <w:t xml:space="preserve">McBain et al. 2026, JAMA </w:t>
      </w:r>
      <w:proofErr w:type="spellStart"/>
      <w:r w:rsidRPr="006C0AD7">
        <w:rPr>
          <w:szCs w:val="24"/>
        </w:rPr>
        <w:t>Pediatrics</w:t>
      </w:r>
      <w:proofErr w:type="spellEnd"/>
      <w:r w:rsidRPr="006C0AD7">
        <w:rPr>
          <w:szCs w:val="24"/>
        </w:rPr>
        <w:t xml:space="preserve">: 19.2% (not just "nearly one in five" — that's a precise match) and 63.3% non-disclosure ("63%" </w:t>
      </w:r>
      <w:r w:rsidRPr="006C0AD7">
        <w:rPr>
          <w:rFonts w:ascii="Segoe UI Symbol" w:hAnsi="Segoe UI Symbol" w:cs="Segoe UI Symbol"/>
          <w:szCs w:val="24"/>
        </w:rPr>
        <w:t>✓</w:t>
      </w:r>
      <w:r w:rsidRPr="006C0AD7">
        <w:rPr>
          <w:szCs w:val="24"/>
        </w:rPr>
        <w:t>). Real, exact.</w:t>
      </w:r>
    </w:p>
    <w:p w14:paraId="7E5A46B1" w14:textId="77777777" w:rsidR="006C0AD7" w:rsidRPr="006C0AD7" w:rsidRDefault="006C0AD7" w:rsidP="006C0AD7">
      <w:pPr>
        <w:numPr>
          <w:ilvl w:val="0"/>
          <w:numId w:val="1"/>
        </w:numPr>
        <w:rPr>
          <w:szCs w:val="24"/>
        </w:rPr>
      </w:pPr>
      <w:proofErr w:type="spellStart"/>
      <w:r w:rsidRPr="006C0AD7">
        <w:rPr>
          <w:szCs w:val="24"/>
        </w:rPr>
        <w:t>ModernBERT</w:t>
      </w:r>
      <w:proofErr w:type="spellEnd"/>
      <w:r w:rsidRPr="006C0AD7">
        <w:rPr>
          <w:szCs w:val="24"/>
        </w:rPr>
        <w:t xml:space="preserve"> base = 149M params, confirmed against the original paper and </w:t>
      </w:r>
      <w:proofErr w:type="spellStart"/>
      <w:r w:rsidRPr="006C0AD7">
        <w:rPr>
          <w:szCs w:val="24"/>
        </w:rPr>
        <w:t>HuggingFace</w:t>
      </w:r>
      <w:proofErr w:type="spellEnd"/>
      <w:r w:rsidRPr="006C0AD7">
        <w:rPr>
          <w:szCs w:val="24"/>
        </w:rPr>
        <w:t xml:space="preserve"> release. Exact.</w:t>
      </w:r>
    </w:p>
    <w:p w14:paraId="6856FF24" w14:textId="77777777" w:rsidR="006C0AD7" w:rsidRPr="006C0AD7" w:rsidRDefault="006C0AD7" w:rsidP="006C0AD7">
      <w:pPr>
        <w:numPr>
          <w:ilvl w:val="0"/>
          <w:numId w:val="1"/>
        </w:numPr>
        <w:rPr>
          <w:szCs w:val="24"/>
        </w:rPr>
      </w:pPr>
      <w:proofErr w:type="spellStart"/>
      <w:r w:rsidRPr="006C0AD7">
        <w:rPr>
          <w:szCs w:val="24"/>
        </w:rPr>
        <w:t>Herpertz</w:t>
      </w:r>
      <w:proofErr w:type="spellEnd"/>
      <w:r w:rsidRPr="006C0AD7">
        <w:rPr>
          <w:szCs w:val="24"/>
        </w:rPr>
        <w:t xml:space="preserve"> et al. 2025, </w:t>
      </w:r>
      <w:proofErr w:type="spellStart"/>
      <w:r w:rsidRPr="006C0AD7">
        <w:rPr>
          <w:szCs w:val="24"/>
        </w:rPr>
        <w:t>npj</w:t>
      </w:r>
      <w:proofErr w:type="spellEnd"/>
      <w:r w:rsidRPr="006C0AD7">
        <w:rPr>
          <w:szCs w:val="24"/>
        </w:rPr>
        <w:t xml:space="preserve"> Mental Health Research: confirmed — "many 510(k)-cleared devices lacked direct evidence of effectiveness, relying solely on equivalence to predicate devices," and four (you say "several," fair) authorized products whose pivotal trials used a different platform than what shipped. Exact.</w:t>
      </w:r>
    </w:p>
    <w:p w14:paraId="6C86F83E" w14:textId="77777777" w:rsidR="006C0AD7" w:rsidRPr="006C0AD7" w:rsidRDefault="006C0AD7" w:rsidP="006C0AD7">
      <w:pPr>
        <w:rPr>
          <w:szCs w:val="24"/>
        </w:rPr>
      </w:pPr>
      <w:r w:rsidRPr="006C0AD7">
        <w:rPr>
          <w:szCs w:val="24"/>
        </w:rPr>
        <w:t>Your citation accuracy record remains unbroken across everything I've now checked in both versions.</w:t>
      </w:r>
    </w:p>
    <w:p w14:paraId="10EE5F82" w14:textId="77777777" w:rsidR="006C0AD7" w:rsidRPr="006C0AD7" w:rsidRDefault="006C0AD7" w:rsidP="006C0AD7">
      <w:pPr>
        <w:rPr>
          <w:szCs w:val="24"/>
        </w:rPr>
      </w:pPr>
      <w:r w:rsidRPr="006C0AD7">
        <w:rPr>
          <w:szCs w:val="24"/>
        </w:rPr>
        <w:t>What's still open, roughly in priority order:</w:t>
      </w:r>
    </w:p>
    <w:p w14:paraId="23D2B0CE" w14:textId="77777777" w:rsidR="006C0AD7" w:rsidRPr="006C0AD7" w:rsidRDefault="006C0AD7" w:rsidP="006C0AD7">
      <w:pPr>
        <w:numPr>
          <w:ilvl w:val="0"/>
          <w:numId w:val="2"/>
        </w:numPr>
        <w:rPr>
          <w:szCs w:val="24"/>
        </w:rPr>
      </w:pPr>
      <w:proofErr w:type="spellStart"/>
      <w:r w:rsidRPr="006C0AD7">
        <w:rPr>
          <w:b/>
          <w:bCs/>
          <w:szCs w:val="24"/>
        </w:rPr>
        <w:t>ProMind</w:t>
      </w:r>
      <w:proofErr w:type="spellEnd"/>
      <w:r w:rsidRPr="006C0AD7">
        <w:rPr>
          <w:b/>
          <w:bCs/>
          <w:szCs w:val="24"/>
        </w:rPr>
        <w:t>-LLM is missing from Section 2.1,</w:t>
      </w:r>
      <w:r w:rsidRPr="006C0AD7">
        <w:rPr>
          <w:szCs w:val="24"/>
        </w:rPr>
        <w:t xml:space="preserve"> and its absence is more conspicuous now than before. You cite </w:t>
      </w:r>
      <w:proofErr w:type="spellStart"/>
      <w:r w:rsidRPr="006C0AD7">
        <w:rPr>
          <w:szCs w:val="24"/>
        </w:rPr>
        <w:t>MindGuard</w:t>
      </w:r>
      <w:proofErr w:type="spellEnd"/>
      <w:r w:rsidRPr="006C0AD7">
        <w:rPr>
          <w:szCs w:val="24"/>
        </w:rPr>
        <w:t xml:space="preserve"> [57] in detail — but </w:t>
      </w:r>
      <w:proofErr w:type="spellStart"/>
      <w:r w:rsidRPr="006C0AD7">
        <w:rPr>
          <w:szCs w:val="24"/>
        </w:rPr>
        <w:t>ProMind</w:t>
      </w:r>
      <w:proofErr w:type="spellEnd"/>
      <w:r w:rsidRPr="006C0AD7">
        <w:rPr>
          <w:szCs w:val="24"/>
        </w:rPr>
        <w:t xml:space="preserve">-LLM is </w:t>
      </w:r>
      <w:proofErr w:type="spellStart"/>
      <w:r w:rsidRPr="006C0AD7">
        <w:rPr>
          <w:szCs w:val="24"/>
        </w:rPr>
        <w:t>MindGuard's</w:t>
      </w:r>
      <w:proofErr w:type="spellEnd"/>
      <w:r w:rsidRPr="006C0AD7">
        <w:rPr>
          <w:szCs w:val="24"/>
        </w:rPr>
        <w:t xml:space="preserve"> own direct successor, same lab, same authors, and it's the more methodologically sophisticated of the two (better </w:t>
      </w:r>
      <w:proofErr w:type="spellStart"/>
      <w:r w:rsidRPr="006C0AD7">
        <w:rPr>
          <w:szCs w:val="24"/>
        </w:rPr>
        <w:t>labeling</w:t>
      </w:r>
      <w:proofErr w:type="spellEnd"/>
      <w:r w:rsidRPr="006C0AD7">
        <w:rPr>
          <w:szCs w:val="24"/>
        </w:rPr>
        <w:t xml:space="preserve"> via licensed psychologists, causal reasoning). A reviewer who knows this space will notice you engaged with the earlier paper but not its own follow-up. Worth a sentence at minimum.</w:t>
      </w:r>
    </w:p>
    <w:p w14:paraId="64D5999D" w14:textId="77777777" w:rsidR="006C0AD7" w:rsidRDefault="006C0AD7" w:rsidP="006C0AD7">
      <w:pPr>
        <w:numPr>
          <w:ilvl w:val="0"/>
          <w:numId w:val="2"/>
        </w:numPr>
        <w:rPr>
          <w:szCs w:val="24"/>
        </w:rPr>
      </w:pPr>
      <w:r w:rsidRPr="006C0AD7">
        <w:rPr>
          <w:szCs w:val="24"/>
        </w:rPr>
        <w:lastRenderedPageBreak/>
        <w:t xml:space="preserve">The harm-to-others routing question deserves a sharper version of the concern you've already raised. You correctly flag "is Tele MANAS the right channel" as open. There's a harder question underneath it: even granting Tele MANAS is the right channel, what would a counsellor actually </w:t>
      </w:r>
      <w:r w:rsidRPr="006C0AD7">
        <w:rPr>
          <w:i/>
          <w:iCs/>
          <w:szCs w:val="24"/>
        </w:rPr>
        <w:t>do</w:t>
      </w:r>
      <w:r w:rsidRPr="006C0AD7">
        <w:rPr>
          <w:szCs w:val="24"/>
        </w:rPr>
        <w:t xml:space="preserve"> with a harm-to-others alert about a conversation they didn't witness, regarding a threatened person they can't identify or contact? Routing solves "which phone number," not "what obligation does a duty-to-protect disclosure create for someone who never spoke to the user." That's a real gap between what Section 3.6 proposes and what "human-anchored" actually resolves.</w:t>
      </w:r>
    </w:p>
    <w:p w14:paraId="0A15D946" w14:textId="18FC3506" w:rsidR="00143C61" w:rsidRPr="006C0AD7" w:rsidRDefault="00143C61" w:rsidP="00143C61">
      <w:pPr>
        <w:ind w:left="720"/>
        <w:rPr>
          <w:szCs w:val="24"/>
        </w:rPr>
      </w:pPr>
      <w:r>
        <w:rPr>
          <w:b/>
          <w:bCs/>
          <w:szCs w:val="24"/>
        </w:rPr>
        <w:t xml:space="preserve">Could be </w:t>
      </w:r>
      <w:r w:rsidRPr="00143C61">
        <w:rPr>
          <w:b/>
          <w:bCs/>
          <w:szCs w:val="24"/>
        </w:rPr>
        <w:t>Solution:</w:t>
      </w:r>
      <w:r>
        <w:rPr>
          <w:szCs w:val="24"/>
        </w:rPr>
        <w:t xml:space="preserve"> harm to others will be just a classification used for better understanding of users mental health condition rather than spreading information of person being harmed.</w:t>
      </w:r>
    </w:p>
    <w:p w14:paraId="71730083" w14:textId="77777777" w:rsidR="006C0AD7" w:rsidRDefault="006C0AD7" w:rsidP="006C0AD7">
      <w:pPr>
        <w:numPr>
          <w:ilvl w:val="0"/>
          <w:numId w:val="2"/>
        </w:numPr>
        <w:rPr>
          <w:szCs w:val="24"/>
        </w:rPr>
      </w:pPr>
      <w:r w:rsidRPr="006C0AD7">
        <w:rPr>
          <w:szCs w:val="24"/>
        </w:rPr>
        <w:t xml:space="preserve">A related, unaddressed privacy question Section 3.6 introduces: your entire zero-knowledge architecture (Section 5.1) is scoped to protecting the </w:t>
      </w:r>
      <w:r w:rsidRPr="006C0AD7">
        <w:rPr>
          <w:i/>
          <w:iCs/>
          <w:szCs w:val="24"/>
        </w:rPr>
        <w:t>user's</w:t>
      </w:r>
      <w:r w:rsidRPr="006C0AD7">
        <w:rPr>
          <w:szCs w:val="24"/>
        </w:rPr>
        <w:t xml:space="preserve"> data. A harm-to-others classification necessarily involves information about a </w:t>
      </w:r>
      <w:r w:rsidRPr="006C0AD7">
        <w:rPr>
          <w:i/>
          <w:iCs/>
          <w:szCs w:val="24"/>
        </w:rPr>
        <w:t>third party the user never enrolled</w:t>
      </w:r>
      <w:r w:rsidRPr="006C0AD7">
        <w:rPr>
          <w:szCs w:val="24"/>
        </w:rPr>
        <w:t>. Does the structured Tier-3 summary include what the user said about that person? If so, Section 5 currently has no treatment of a non-user's data at all — worth a short subsection, even just naming it as open the way you've named the routing question.</w:t>
      </w:r>
    </w:p>
    <w:p w14:paraId="14534C18" w14:textId="5C12933A" w:rsidR="00143C61" w:rsidRPr="006C0AD7" w:rsidRDefault="00143C61" w:rsidP="00143C61">
      <w:pPr>
        <w:ind w:left="720"/>
        <w:rPr>
          <w:szCs w:val="24"/>
        </w:rPr>
      </w:pPr>
      <w:r w:rsidRPr="00143C61">
        <w:rPr>
          <w:b/>
          <w:bCs/>
          <w:szCs w:val="24"/>
        </w:rPr>
        <w:t>Could be Solution:</w:t>
      </w:r>
      <w:r>
        <w:rPr>
          <w:szCs w:val="24"/>
        </w:rPr>
        <w:t xml:space="preserve"> the above could be solution fixes this issue also.</w:t>
      </w:r>
    </w:p>
    <w:p w14:paraId="63E791AE" w14:textId="77777777" w:rsidR="006C0AD7" w:rsidRPr="006C0AD7" w:rsidRDefault="006C0AD7" w:rsidP="006C0AD7">
      <w:pPr>
        <w:numPr>
          <w:ilvl w:val="0"/>
          <w:numId w:val="2"/>
        </w:numPr>
        <w:rPr>
          <w:szCs w:val="24"/>
        </w:rPr>
      </w:pPr>
      <w:r w:rsidRPr="006C0AD7">
        <w:rPr>
          <w:szCs w:val="24"/>
        </w:rPr>
        <w:t>Minor: Section 3.1 calls this a "five-stage pipeline" but stage 4 now bundles three distinct things (detection, generation, turn-classification) while every other stage is one thing — Figure 1 already draws these as separate boxes, so the prose numbering reads a little inconsistent against your own diagram.</w:t>
      </w:r>
    </w:p>
    <w:p w14:paraId="45CCB639" w14:textId="77777777" w:rsidR="006C0AD7" w:rsidRPr="006C0AD7" w:rsidRDefault="006C0AD7" w:rsidP="006C0AD7">
      <w:pPr>
        <w:numPr>
          <w:ilvl w:val="0"/>
          <w:numId w:val="2"/>
        </w:numPr>
        <w:rPr>
          <w:szCs w:val="24"/>
        </w:rPr>
      </w:pPr>
      <w:r w:rsidRPr="006C0AD7">
        <w:rPr>
          <w:szCs w:val="24"/>
        </w:rPr>
        <w:t xml:space="preserve">Small holdover from before: Section 2.4 still glosses </w:t>
      </w:r>
      <w:proofErr w:type="spellStart"/>
      <w:r w:rsidRPr="006C0AD7">
        <w:rPr>
          <w:szCs w:val="24"/>
        </w:rPr>
        <w:t>ProKnow's</w:t>
      </w:r>
      <w:proofErr w:type="spellEnd"/>
      <w:r w:rsidRPr="006C0AD7">
        <w:rPr>
          <w:szCs w:val="24"/>
        </w:rPr>
        <w:t xml:space="preserve"> "96% reduction" as a "knowledge-capture-violation metric" rather than their actual term (averaged squared rank error). Genuinely minor, easy fix.</w:t>
      </w:r>
    </w:p>
    <w:p w14:paraId="597785C4" w14:textId="77777777" w:rsidR="006C0AD7" w:rsidRDefault="006C0AD7" w:rsidP="006C0AD7">
      <w:pPr>
        <w:numPr>
          <w:ilvl w:val="0"/>
          <w:numId w:val="2"/>
        </w:numPr>
        <w:rPr>
          <w:szCs w:val="24"/>
        </w:rPr>
      </w:pPr>
      <w:r w:rsidRPr="006C0AD7">
        <w:rPr>
          <w:szCs w:val="24"/>
        </w:rPr>
        <w:t>Table 1 and the Stage table are still coming through as run-together prose in what I'm receiving — likely just extraction, but worth a final visual check on the actual PDF before it goes anywhere.</w:t>
      </w:r>
    </w:p>
    <w:p w14:paraId="6DD26A35" w14:textId="77777777" w:rsidR="00143C61" w:rsidRDefault="00143C61" w:rsidP="006C0AD7">
      <w:pPr>
        <w:numPr>
          <w:ilvl w:val="0"/>
          <w:numId w:val="2"/>
        </w:numPr>
        <w:rPr>
          <w:szCs w:val="24"/>
        </w:rPr>
      </w:pPr>
    </w:p>
    <w:p w14:paraId="54A391E8" w14:textId="55CC82C6" w:rsidR="00143C61" w:rsidRDefault="00143C61" w:rsidP="00143C61">
      <w:pPr>
        <w:rPr>
          <w:szCs w:val="24"/>
        </w:rPr>
      </w:pPr>
      <w:r w:rsidRPr="00143C61">
        <w:rPr>
          <w:b/>
          <w:bCs/>
          <w:szCs w:val="24"/>
        </w:rPr>
        <w:t>Could be Solutions:</w:t>
      </w:r>
      <w:r>
        <w:rPr>
          <w:szCs w:val="24"/>
        </w:rPr>
        <w:t xml:space="preserve"> Rest of problems will be taken care of in v4 as they are minor issues.  </w:t>
      </w:r>
    </w:p>
    <w:p w14:paraId="128E9C80" w14:textId="77777777" w:rsidR="006C0AD7" w:rsidRDefault="006C0AD7" w:rsidP="006C0AD7">
      <w:pPr>
        <w:rPr>
          <w:szCs w:val="24"/>
        </w:rPr>
      </w:pPr>
    </w:p>
    <w:p w14:paraId="7026636E" w14:textId="77777777" w:rsidR="006C0AD7" w:rsidRDefault="006C0AD7" w:rsidP="006C0AD7">
      <w:pPr>
        <w:rPr>
          <w:b/>
          <w:bCs/>
          <w:sz w:val="28"/>
          <w:szCs w:val="28"/>
        </w:rPr>
      </w:pPr>
    </w:p>
    <w:p w14:paraId="21A471B4" w14:textId="77777777" w:rsidR="00143C61" w:rsidRDefault="00143C61" w:rsidP="006C0AD7">
      <w:pPr>
        <w:rPr>
          <w:b/>
          <w:bCs/>
          <w:sz w:val="28"/>
          <w:szCs w:val="28"/>
        </w:rPr>
      </w:pPr>
    </w:p>
    <w:p w14:paraId="01D38FD6" w14:textId="77777777" w:rsidR="00143C61" w:rsidRPr="00414DF2" w:rsidRDefault="00143C61" w:rsidP="006C0AD7">
      <w:pPr>
        <w:rPr>
          <w:b/>
          <w:bCs/>
          <w:sz w:val="28"/>
          <w:szCs w:val="28"/>
        </w:rPr>
      </w:pPr>
    </w:p>
    <w:p w14:paraId="151E9E98" w14:textId="4CAD2362" w:rsidR="006C0AD7" w:rsidRDefault="006C0AD7" w:rsidP="006C0AD7">
      <w:pPr>
        <w:rPr>
          <w:b/>
          <w:bCs/>
          <w:sz w:val="28"/>
          <w:szCs w:val="28"/>
        </w:rPr>
      </w:pPr>
      <w:r w:rsidRPr="00414DF2">
        <w:rPr>
          <w:b/>
          <w:bCs/>
          <w:sz w:val="28"/>
          <w:szCs w:val="28"/>
        </w:rPr>
        <w:lastRenderedPageBreak/>
        <w:t xml:space="preserve">Proposed Idea of integrating College/Institute counselling </w:t>
      </w:r>
      <w:r w:rsidR="00143C61" w:rsidRPr="00414DF2">
        <w:rPr>
          <w:b/>
          <w:bCs/>
          <w:sz w:val="28"/>
          <w:szCs w:val="28"/>
        </w:rPr>
        <w:t>centre</w:t>
      </w:r>
      <w:r w:rsidR="00143C61">
        <w:rPr>
          <w:b/>
          <w:bCs/>
          <w:sz w:val="28"/>
          <w:szCs w:val="28"/>
        </w:rPr>
        <w:t xml:space="preserve"> + best friend</w:t>
      </w:r>
      <w:r w:rsidRPr="00414DF2">
        <w:rPr>
          <w:b/>
          <w:bCs/>
          <w:sz w:val="28"/>
          <w:szCs w:val="28"/>
        </w:rPr>
        <w:t xml:space="preserve"> with TELEMANAS </w:t>
      </w:r>
      <w:r w:rsidR="00414DF2" w:rsidRPr="00414DF2">
        <w:rPr>
          <w:b/>
          <w:bCs/>
          <w:sz w:val="28"/>
          <w:szCs w:val="28"/>
        </w:rPr>
        <w:t>and adding parameters of grades,</w:t>
      </w:r>
      <w:r w:rsidR="00414DF2" w:rsidRPr="00414DF2">
        <w:rPr>
          <w:rFonts w:ascii="Segoe UI" w:hAnsi="Segoe UI" w:cs="Segoe UI"/>
          <w:b/>
          <w:bCs/>
          <w:color w:val="FFFFFF"/>
          <w:sz w:val="28"/>
          <w:szCs w:val="28"/>
        </w:rPr>
        <w:t xml:space="preserve"> </w:t>
      </w:r>
      <w:r w:rsidR="00414DF2" w:rsidRPr="00414DF2">
        <w:rPr>
          <w:b/>
          <w:bCs/>
          <w:sz w:val="28"/>
          <w:szCs w:val="28"/>
        </w:rPr>
        <w:t xml:space="preserve"> academic records, </w:t>
      </w:r>
      <w:r w:rsidR="00414DF2" w:rsidRPr="00414DF2">
        <w:rPr>
          <w:b/>
          <w:bCs/>
          <w:sz w:val="28"/>
          <w:szCs w:val="28"/>
        </w:rPr>
        <w:t>career pressure, peer</w:t>
      </w:r>
      <w:r w:rsidR="00414DF2" w:rsidRPr="00414DF2">
        <w:rPr>
          <w:b/>
          <w:bCs/>
          <w:sz w:val="28"/>
          <w:szCs w:val="28"/>
        </w:rPr>
        <w:t xml:space="preserve"> pressure , current working/financial conditions(this feature for all) ,into account for estimation of mental health condition.</w:t>
      </w:r>
    </w:p>
    <w:p w14:paraId="75DBE5EB" w14:textId="77777777" w:rsidR="00414DF2" w:rsidRDefault="00414DF2" w:rsidP="006C0AD7">
      <w:pPr>
        <w:rPr>
          <w:b/>
          <w:bCs/>
          <w:sz w:val="28"/>
          <w:szCs w:val="28"/>
        </w:rPr>
      </w:pPr>
    </w:p>
    <w:p w14:paraId="60018727" w14:textId="77777777" w:rsidR="00414DF2" w:rsidRDefault="00414DF2" w:rsidP="006C0AD7">
      <w:pPr>
        <w:rPr>
          <w:b/>
          <w:bCs/>
          <w:sz w:val="28"/>
          <w:szCs w:val="28"/>
        </w:rPr>
      </w:pPr>
    </w:p>
    <w:p w14:paraId="3713CCA9" w14:textId="77777777" w:rsidR="00414DF2" w:rsidRPr="00414DF2" w:rsidRDefault="00414DF2" w:rsidP="00414DF2">
      <w:pPr>
        <w:rPr>
          <w:b/>
          <w:bCs/>
          <w:sz w:val="28"/>
          <w:szCs w:val="28"/>
        </w:rPr>
      </w:pPr>
      <w:r w:rsidRPr="00414DF2">
        <w:rPr>
          <w:b/>
          <w:bCs/>
          <w:sz w:val="28"/>
          <w:szCs w:val="28"/>
        </w:rPr>
        <w:t>The two proposed additions</w:t>
      </w:r>
    </w:p>
    <w:p w14:paraId="0D9F3AB3" w14:textId="77777777" w:rsidR="00414DF2" w:rsidRPr="00414DF2" w:rsidRDefault="00414DF2" w:rsidP="00414DF2">
      <w:pPr>
        <w:rPr>
          <w:szCs w:val="24"/>
        </w:rPr>
      </w:pPr>
      <w:r w:rsidRPr="00414DF2">
        <w:rPr>
          <w:szCs w:val="24"/>
        </w:rPr>
        <w:t>I want to slow down here, because these two are different in kind from everything you've added so far. Every prior fix took something already in the paper and made it more honest or better-scoped. These add genuinely new data relationships, and I think one is a smaller change than it looks and the other runs into a real structural conflict with the architecture you've spent three revisions making coherent. I'll take them separately.</w:t>
      </w:r>
    </w:p>
    <w:p w14:paraId="309BAD8F" w14:textId="77777777" w:rsidR="00414DF2" w:rsidRPr="00143C61" w:rsidRDefault="00414DF2" w:rsidP="00414DF2">
      <w:pPr>
        <w:rPr>
          <w:b/>
          <w:bCs/>
          <w:szCs w:val="24"/>
        </w:rPr>
      </w:pPr>
      <w:r w:rsidRPr="00143C61">
        <w:rPr>
          <w:b/>
          <w:bCs/>
          <w:szCs w:val="24"/>
        </w:rPr>
        <w:t>Counselling department + best friend</w:t>
      </w:r>
    </w:p>
    <w:p w14:paraId="5F5E1A31" w14:textId="77777777" w:rsidR="00414DF2" w:rsidRPr="00414DF2" w:rsidRDefault="00414DF2" w:rsidP="00414DF2">
      <w:pPr>
        <w:rPr>
          <w:szCs w:val="24"/>
        </w:rPr>
      </w:pPr>
      <w:r w:rsidRPr="00414DF2">
        <w:rPr>
          <w:szCs w:val="24"/>
        </w:rPr>
        <w:t>This one's ambiguous enough that the answer depends on which version you mean, so let me lay out the fork rather than guess.</w:t>
      </w:r>
    </w:p>
    <w:p w14:paraId="381FC270" w14:textId="77777777" w:rsidR="00414DF2" w:rsidRPr="00414DF2" w:rsidRDefault="00414DF2" w:rsidP="00414DF2">
      <w:pPr>
        <w:rPr>
          <w:szCs w:val="24"/>
        </w:rPr>
      </w:pPr>
      <w:r w:rsidRPr="00414DF2">
        <w:rPr>
          <w:szCs w:val="24"/>
        </w:rPr>
        <w:t>If you mean: "for a college student, the natural person to pre-designate as their Tier 2/3 contact is a best friend, and the natural Tier 2/3 channel is their institution's counselling service" — this may not need new architecture at all. Section 3.5 already lets the user designate any contact; a campus counselling service could plausibly sit alongside Tele MANAS as an alternative Tier 2 channel. If that's the whole idea, it's mostly a framing/persona addition, not a new system.</w:t>
      </w:r>
    </w:p>
    <w:p w14:paraId="35730719" w14:textId="77777777" w:rsidR="00414DF2" w:rsidRPr="00414DF2" w:rsidRDefault="00414DF2" w:rsidP="00414DF2">
      <w:pPr>
        <w:rPr>
          <w:szCs w:val="24"/>
        </w:rPr>
      </w:pPr>
      <w:r w:rsidRPr="00414DF2">
        <w:rPr>
          <w:szCs w:val="24"/>
        </w:rPr>
        <w:t xml:space="preserve">If you mean: the system should reach out to the friend or the institution as an </w:t>
      </w:r>
      <w:r w:rsidRPr="00414DF2">
        <w:rPr>
          <w:i/>
          <w:iCs/>
          <w:szCs w:val="24"/>
        </w:rPr>
        <w:t>additional</w:t>
      </w:r>
      <w:r w:rsidRPr="00414DF2">
        <w:rPr>
          <w:szCs w:val="24"/>
        </w:rPr>
        <w:t xml:space="preserve">, not-necessarily-user-initiated escalation path — that's a different and much riskier proposal, and here's real evidence for why, not just my own caution. I looked into how "flag a student to their institution" has actually gone in practice: there's a documented pattern of students who sought </w:t>
      </w:r>
      <w:proofErr w:type="spellStart"/>
      <w:r w:rsidRPr="00414DF2">
        <w:rPr>
          <w:szCs w:val="24"/>
        </w:rPr>
        <w:t>counseling</w:t>
      </w:r>
      <w:proofErr w:type="spellEnd"/>
      <w:r w:rsidRPr="00414DF2">
        <w:rPr>
          <w:szCs w:val="24"/>
        </w:rPr>
        <w:t xml:space="preserve"> for non-suicidal reasons being placed on involuntary medical leave, in some cases barred from campus entirely — a University of Chicago student held for two weeks with, by her account, no suicidal intent; a Quinnipiac University case that ended in an ADA Title III discrimination settlement after a student was put on mandatory leave following her </w:t>
      </w:r>
      <w:r w:rsidRPr="00414DF2">
        <w:rPr>
          <w:i/>
          <w:iCs/>
          <w:szCs w:val="24"/>
        </w:rPr>
        <w:t>first-ever</w:t>
      </w:r>
      <w:r w:rsidRPr="00414DF2">
        <w:rPr>
          <w:szCs w:val="24"/>
        </w:rPr>
        <w:t xml:space="preserve"> </w:t>
      </w:r>
      <w:proofErr w:type="spellStart"/>
      <w:r w:rsidRPr="00414DF2">
        <w:rPr>
          <w:szCs w:val="24"/>
        </w:rPr>
        <w:t>counseling</w:t>
      </w:r>
      <w:proofErr w:type="spellEnd"/>
      <w:r w:rsidRPr="00414DF2">
        <w:rPr>
          <w:szCs w:val="24"/>
        </w:rPr>
        <w:t xml:space="preserve"> visit; a similar lawsuit at Stanford. This isn't a fringe concern — it's litigated, legally recognized territory. An institution is not a neutral, purely-therapeutic party the way Tele MANAS is; it has disciplinary authority, academic-standing power, and its own liability incentives, and those can point in a very different direction than "get this student support." Tele MANAS earns its place in your design specifically </w:t>
      </w:r>
      <w:r w:rsidRPr="00414DF2">
        <w:rPr>
          <w:i/>
          <w:iCs/>
          <w:szCs w:val="24"/>
        </w:rPr>
        <w:t>because</w:t>
      </w:r>
      <w:r w:rsidRPr="00414DF2">
        <w:rPr>
          <w:szCs w:val="24"/>
        </w:rPr>
        <w:t xml:space="preserve"> it has no such competing interest. A campus counselling department doesn't automatically inherit that property, and if this feature means the system-initiated route rather than the user's own </w:t>
      </w:r>
      <w:r w:rsidRPr="00414DF2">
        <w:rPr>
          <w:szCs w:val="24"/>
        </w:rPr>
        <w:lastRenderedPageBreak/>
        <w:t>choice, it needs its own Section 5.6-depth treatment before going in, not a table-row addition.</w:t>
      </w:r>
    </w:p>
    <w:p w14:paraId="18E41DB4" w14:textId="77777777" w:rsidR="00414DF2" w:rsidRPr="00414DF2" w:rsidRDefault="00414DF2" w:rsidP="00414DF2">
      <w:pPr>
        <w:rPr>
          <w:szCs w:val="24"/>
        </w:rPr>
      </w:pPr>
      <w:r w:rsidRPr="00414DF2">
        <w:rPr>
          <w:szCs w:val="24"/>
        </w:rPr>
        <w:t>There's also a plain feasibility gap worth naming: Tele MANAS is one national number with one integration. "An institute's counselling department" is potentially thousands of different intake processes, hours, and protocols — a genuinely different scale of integration problem than anything else in your design.</w:t>
      </w:r>
    </w:p>
    <w:p w14:paraId="02545125" w14:textId="77777777" w:rsidR="00414DF2" w:rsidRPr="00414DF2" w:rsidRDefault="00414DF2" w:rsidP="00414DF2">
      <w:pPr>
        <w:rPr>
          <w:szCs w:val="24"/>
        </w:rPr>
      </w:pPr>
      <w:r w:rsidRPr="00414DF2">
        <w:rPr>
          <w:szCs w:val="24"/>
        </w:rPr>
        <w:t>Academic records, career pressure, peer pressure, financial conditions</w:t>
      </w:r>
    </w:p>
    <w:p w14:paraId="77B9A83E" w14:textId="77777777" w:rsidR="00414DF2" w:rsidRPr="00414DF2" w:rsidRDefault="00414DF2" w:rsidP="00414DF2">
      <w:pPr>
        <w:rPr>
          <w:szCs w:val="24"/>
        </w:rPr>
      </w:pPr>
      <w:r w:rsidRPr="00414DF2">
        <w:rPr>
          <w:szCs w:val="24"/>
        </w:rPr>
        <w:t>I want to use your own paper's logic here, because I think it makes the case better than I can from outside it — and I looked into the actual research base for this, so this isn't just architectural objection.</w:t>
      </w:r>
    </w:p>
    <w:p w14:paraId="28784E62" w14:textId="77777777" w:rsidR="00414DF2" w:rsidRPr="00414DF2" w:rsidRDefault="00414DF2" w:rsidP="00414DF2">
      <w:pPr>
        <w:rPr>
          <w:szCs w:val="24"/>
        </w:rPr>
      </w:pPr>
      <w:r w:rsidRPr="00414DF2">
        <w:rPr>
          <w:szCs w:val="24"/>
        </w:rPr>
        <w:t>Your Introduction's entire premise is that clinical detection today "relies overwhelmingly on episodic, self-reported assessment... a cadence poorly matched to the temporal dynamics of mood." That's the problem Sentinel exists to move past. I checked what validated instruments exist for exactly the constructs you're proposing — an Academic Stressors Scale, a validated undergraduate Financial Stress Scale, the SISCO-II inventory, and others do exist. Every single one of them is a Likert-scale questionnaire. There is no passive-sensing analogue for "career pressure" the way there is for sleep or app-usage — it isn't observable, it's reported. Adding it means adding a self-report layer, which is the exact thing your opening paragraph identifies as inadequate. That's not a minor tension; it cuts against the paper's stated reason for existing.</w:t>
      </w:r>
    </w:p>
    <w:p w14:paraId="2A63D9BF" w14:textId="77777777" w:rsidR="00414DF2" w:rsidRPr="00414DF2" w:rsidRDefault="00414DF2" w:rsidP="00414DF2">
      <w:pPr>
        <w:rPr>
          <w:szCs w:val="24"/>
        </w:rPr>
      </w:pPr>
      <w:r w:rsidRPr="00414DF2">
        <w:rPr>
          <w:szCs w:val="24"/>
        </w:rPr>
        <w:t>Two more layers to this, both structural rather than just about survey burden:</w:t>
      </w:r>
    </w:p>
    <w:p w14:paraId="53A54D8D" w14:textId="77777777" w:rsidR="00414DF2" w:rsidRPr="00414DF2" w:rsidRDefault="00414DF2" w:rsidP="00414DF2">
      <w:pPr>
        <w:numPr>
          <w:ilvl w:val="0"/>
          <w:numId w:val="3"/>
        </w:numPr>
        <w:rPr>
          <w:szCs w:val="24"/>
        </w:rPr>
      </w:pPr>
      <w:r w:rsidRPr="00414DF2">
        <w:rPr>
          <w:szCs w:val="24"/>
        </w:rPr>
        <w:t xml:space="preserve">Academic records live on someone else's server. Grades and academic standing sit in an institution's student information system, not on the phone. Pulling them in means establishing a data-sharing relationship between the institution and Sentinel — which directly contradicts the "sole party with access to their own </w:t>
      </w:r>
      <w:proofErr w:type="spellStart"/>
      <w:r w:rsidRPr="00414DF2">
        <w:rPr>
          <w:szCs w:val="24"/>
        </w:rPr>
        <w:t>behavioral</w:t>
      </w:r>
      <w:proofErr w:type="spellEnd"/>
      <w:r w:rsidRPr="00414DF2">
        <w:rPr>
          <w:szCs w:val="24"/>
        </w:rPr>
        <w:t xml:space="preserve"> data" claim that's your central differentiator from </w:t>
      </w:r>
      <w:proofErr w:type="spellStart"/>
      <w:r w:rsidRPr="00414DF2">
        <w:rPr>
          <w:szCs w:val="24"/>
        </w:rPr>
        <w:t>Beiwe</w:t>
      </w:r>
      <w:proofErr w:type="spellEnd"/>
      <w:r w:rsidRPr="00414DF2">
        <w:rPr>
          <w:szCs w:val="24"/>
        </w:rPr>
        <w:t xml:space="preserve"> and </w:t>
      </w:r>
      <w:proofErr w:type="spellStart"/>
      <w:r w:rsidRPr="00414DF2">
        <w:rPr>
          <w:szCs w:val="24"/>
        </w:rPr>
        <w:t>mindLAMP</w:t>
      </w:r>
      <w:proofErr w:type="spellEnd"/>
      <w:r w:rsidRPr="00414DF2">
        <w:rPr>
          <w:szCs w:val="24"/>
        </w:rPr>
        <w:t xml:space="preserve"> in Section 2.1. You've spent three revisions making the zero-knowledge boundary airtight for phone-native signals; this reopens exactly the door that boundary was built to close, from a different direction.</w:t>
      </w:r>
    </w:p>
    <w:p w14:paraId="079CF9E9" w14:textId="77777777" w:rsidR="00414DF2" w:rsidRPr="00414DF2" w:rsidRDefault="00414DF2" w:rsidP="00414DF2">
      <w:pPr>
        <w:numPr>
          <w:ilvl w:val="0"/>
          <w:numId w:val="3"/>
        </w:numPr>
        <w:rPr>
          <w:szCs w:val="24"/>
        </w:rPr>
      </w:pPr>
      <w:r w:rsidRPr="00414DF2">
        <w:rPr>
          <w:szCs w:val="24"/>
        </w:rPr>
        <w:t xml:space="preserve">There's no PHQ-9 for "peer pressure." Your generation layer's entire safety argument rests on RAG-grounding every output in a validated clinical instrument (Section 3.3, citing </w:t>
      </w:r>
      <w:proofErr w:type="spellStart"/>
      <w:r w:rsidRPr="00414DF2">
        <w:rPr>
          <w:szCs w:val="24"/>
        </w:rPr>
        <w:t>ProKnow</w:t>
      </w:r>
      <w:proofErr w:type="spellEnd"/>
      <w:r w:rsidRPr="00414DF2">
        <w:rPr>
          <w:szCs w:val="24"/>
        </w:rPr>
        <w:t>). Depression and anxiety have that instrument. Financial stress has an undergraduate-specific scale that exists but isn't remotely as universally recognized. "Career pressure" and "peer pressure" don't have anything close to PHQ-9's standing. Feeding ungrounded constructs into the same pipeline you built specifically to avoid ungrounded generation would be inconsistent with your own Section 2.4 argument.</w:t>
      </w:r>
    </w:p>
    <w:p w14:paraId="2C2C1166" w14:textId="77777777" w:rsidR="00414DF2" w:rsidRPr="00414DF2" w:rsidRDefault="00414DF2" w:rsidP="00414DF2">
      <w:pPr>
        <w:rPr>
          <w:szCs w:val="24"/>
        </w:rPr>
      </w:pPr>
      <w:r w:rsidRPr="00414DF2">
        <w:rPr>
          <w:szCs w:val="24"/>
        </w:rPr>
        <w:lastRenderedPageBreak/>
        <w:t xml:space="preserve">A version of this that might actually fit: don't feed these into Phase 2's automated ensemble or the RAG layer at all. Instead, make them optional, explicitly-entered context — the user types "money's been tight this semester" the way they'd tell a doctor — that surfaces only to the </w:t>
      </w:r>
      <w:r w:rsidRPr="00414DF2">
        <w:rPr>
          <w:i/>
          <w:iCs/>
          <w:szCs w:val="24"/>
        </w:rPr>
        <w:t>human</w:t>
      </w:r>
      <w:r w:rsidRPr="00414DF2">
        <w:rPr>
          <w:szCs w:val="24"/>
        </w:rPr>
        <w:t xml:space="preserve"> reviewer at Tier 2/3, alongside the structured summary, never touching the automated detection or generation pipeline. That sidesteps all three problems: no institutional data pipeline (self-entered, on-device, optional), no self-report-replacing-passive-sensing claim (it's supplementary context for a human, not a machine-learning input), and no need for a validated instrument (a trained counsellor is interpreting it, not an algorithm). It's a smaller feature than what you described, but it's one that doesn't cost you the coherence you've built.</w:t>
      </w:r>
    </w:p>
    <w:p w14:paraId="31A440E9" w14:textId="77777777" w:rsidR="00414DF2" w:rsidRPr="00414DF2" w:rsidRDefault="00414DF2" w:rsidP="00414DF2">
      <w:pPr>
        <w:rPr>
          <w:szCs w:val="24"/>
        </w:rPr>
      </w:pPr>
      <w:r w:rsidRPr="00414DF2">
        <w:rPr>
          <w:szCs w:val="24"/>
        </w:rPr>
        <w:t>Want me to draft the actual paragraph-level language for either of these — the sharper harm-to-others limitation, or the scoped-down version of the context-signals idea — so you can drop it straight into V4?</w:t>
      </w:r>
    </w:p>
    <w:p w14:paraId="725864F0" w14:textId="77777777" w:rsidR="00414DF2" w:rsidRPr="00414DF2" w:rsidRDefault="00414DF2" w:rsidP="006C0AD7">
      <w:pPr>
        <w:rPr>
          <w:szCs w:val="24"/>
        </w:rPr>
      </w:pPr>
    </w:p>
    <w:p w14:paraId="1D80246C" w14:textId="77777777" w:rsidR="006C0AD7" w:rsidRPr="00414DF2" w:rsidRDefault="006C0AD7">
      <w:pPr>
        <w:rPr>
          <w:szCs w:val="24"/>
        </w:rPr>
      </w:pPr>
    </w:p>
    <w:sectPr w:rsidR="006C0AD7" w:rsidRPr="00414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4950"/>
    <w:multiLevelType w:val="multilevel"/>
    <w:tmpl w:val="8C64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57397"/>
    <w:multiLevelType w:val="multilevel"/>
    <w:tmpl w:val="8E60A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A96C07"/>
    <w:multiLevelType w:val="multilevel"/>
    <w:tmpl w:val="125C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749462">
    <w:abstractNumId w:val="0"/>
  </w:num>
  <w:num w:numId="2" w16cid:durableId="1670450254">
    <w:abstractNumId w:val="1"/>
  </w:num>
  <w:num w:numId="3" w16cid:durableId="18228420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0B"/>
    <w:rsid w:val="00143C61"/>
    <w:rsid w:val="00414DF2"/>
    <w:rsid w:val="006C0AD7"/>
    <w:rsid w:val="007C692F"/>
    <w:rsid w:val="00FE5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CB324"/>
  <w15:chartTrackingRefBased/>
  <w15:docId w15:val="{1FFFF791-24C0-47B0-BA01-6A4A2CB14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80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E580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E580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E58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8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5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80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E580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E580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E58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8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80B"/>
    <w:rPr>
      <w:rFonts w:eastAsiaTheme="majorEastAsia" w:cstheme="majorBidi"/>
      <w:color w:val="272727" w:themeColor="text1" w:themeTint="D8"/>
    </w:rPr>
  </w:style>
  <w:style w:type="paragraph" w:styleId="Title">
    <w:name w:val="Title"/>
    <w:basedOn w:val="Normal"/>
    <w:next w:val="Normal"/>
    <w:link w:val="TitleChar"/>
    <w:uiPriority w:val="10"/>
    <w:qFormat/>
    <w:rsid w:val="00FE580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E580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E580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E580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E580B"/>
    <w:pPr>
      <w:spacing w:before="160"/>
      <w:jc w:val="center"/>
    </w:pPr>
    <w:rPr>
      <w:i/>
      <w:iCs/>
      <w:color w:val="404040" w:themeColor="text1" w:themeTint="BF"/>
    </w:rPr>
  </w:style>
  <w:style w:type="character" w:customStyle="1" w:styleId="QuoteChar">
    <w:name w:val="Quote Char"/>
    <w:basedOn w:val="DefaultParagraphFont"/>
    <w:link w:val="Quote"/>
    <w:uiPriority w:val="29"/>
    <w:rsid w:val="00FE580B"/>
    <w:rPr>
      <w:i/>
      <w:iCs/>
      <w:color w:val="404040" w:themeColor="text1" w:themeTint="BF"/>
    </w:rPr>
  </w:style>
  <w:style w:type="paragraph" w:styleId="ListParagraph">
    <w:name w:val="List Paragraph"/>
    <w:basedOn w:val="Normal"/>
    <w:uiPriority w:val="34"/>
    <w:qFormat/>
    <w:rsid w:val="00FE580B"/>
    <w:pPr>
      <w:ind w:left="720"/>
      <w:contextualSpacing/>
    </w:pPr>
  </w:style>
  <w:style w:type="character" w:styleId="IntenseEmphasis">
    <w:name w:val="Intense Emphasis"/>
    <w:basedOn w:val="DefaultParagraphFont"/>
    <w:uiPriority w:val="21"/>
    <w:qFormat/>
    <w:rsid w:val="00FE580B"/>
    <w:rPr>
      <w:i/>
      <w:iCs/>
      <w:color w:val="2F5496" w:themeColor="accent1" w:themeShade="BF"/>
    </w:rPr>
  </w:style>
  <w:style w:type="paragraph" w:styleId="IntenseQuote">
    <w:name w:val="Intense Quote"/>
    <w:basedOn w:val="Normal"/>
    <w:next w:val="Normal"/>
    <w:link w:val="IntenseQuoteChar"/>
    <w:uiPriority w:val="30"/>
    <w:qFormat/>
    <w:rsid w:val="00FE58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80B"/>
    <w:rPr>
      <w:i/>
      <w:iCs/>
      <w:color w:val="2F5496" w:themeColor="accent1" w:themeShade="BF"/>
    </w:rPr>
  </w:style>
  <w:style w:type="character" w:styleId="IntenseReference">
    <w:name w:val="Intense Reference"/>
    <w:basedOn w:val="DefaultParagraphFont"/>
    <w:uiPriority w:val="32"/>
    <w:qFormat/>
    <w:rsid w:val="00FE58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1667</Words>
  <Characters>9505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 Thakkur</dc:creator>
  <cp:keywords/>
  <dc:description/>
  <cp:lastModifiedBy>Anant Thakkur</cp:lastModifiedBy>
  <cp:revision>2</cp:revision>
  <dcterms:created xsi:type="dcterms:W3CDTF">2026-08-11T17:49:00Z</dcterms:created>
  <dcterms:modified xsi:type="dcterms:W3CDTF">2026-08-11T18:19:00Z</dcterms:modified>
</cp:coreProperties>
</file>