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40"/>
          <w:szCs w:val="40"/>
        </w:rPr>
        <w:t xml:space="preserve">Registre des risques</w:t>
      </w:r>
    </w:p>
    <w:p>
      <w:pPr>
        <w:spacing w:after="40"/>
      </w:pPr>
      <w:r>
        <w:rPr>
          <w:color w:val="1F3864"/>
          <w:sz w:val="26"/>
          <w:szCs w:val="26"/>
        </w:rPr>
        <w:t xml:space="preserve">Projet Isaac Ahmed — Assistant IA de borne d'accueil</w:t>
      </w:r>
    </w:p>
    <w:p>
      <w:pPr>
        <w:spacing w:after="300"/>
      </w:pPr>
      <w:r>
        <w:rPr>
          <w:i/>
          <w:iCs/>
          <w:color w:val="555555"/>
          <w:sz w:val="20"/>
          <w:szCs w:val="20"/>
        </w:rPr>
        <w:t xml:space="preserve">Brouillon initial — 26 août 2026, à tenir à jour tout au long du stage</w:t>
      </w:r>
    </w:p>
    <w:p>
      <w:pPr>
        <w:pBdr>
          <w:bottom w:val="single" w:color="AAAAAA" w:sz="6" w:space="1"/>
        </w:pBdr>
        <w:spacing w:after="300" w:before="100"/>
      </w:pPr>
    </w:p>
    <w:p>
      <w:pPr>
        <w:pBdr>
          <w:top w:val="single" w:color="B8860B" w:sz="4" w:space="8"/>
          <w:bottom w:val="single" w:color="B8860B" w:sz="4" w:space="8"/>
          <w:left w:val="single" w:color="B8860B" w:sz="12" w:space="8"/>
          <w:right w:val="single" w:color="B8860B" w:sz="4" w:space="8"/>
        </w:pBdr>
        <w:spacing w:after="200" w:before="120"/>
      </w:pPr>
      <w:r>
        <w:rPr>
          <w:i/>
          <w:iCs/>
          <w:color w:val="7A5A00"/>
          <w:sz w:val="20"/>
          <w:szCs w:val="20"/>
        </w:rPr>
        <w:t xml:space="preserve">Ce registre doit être revu régulièrement (par exemple à chaque point hebdomadaire avec la tutrice) et complété au fil du stage — ce n'est pas un document figé.</w:t>
      </w:r>
    </w:p>
    <w:p>
      <w:pPr>
        <w:pStyle w:val="Heading1"/>
        <w:spacing w:after="180" w:before="380"/>
      </w:pPr>
      <w:r>
        <w:rPr>
          <w:b/>
          <w:bCs/>
          <w:color w:val="1F3864"/>
          <w:sz w:val="26"/>
          <w:szCs w:val="26"/>
        </w:rPr>
        <w:t xml:space="preserve">Échelle utilisée</w:t>
      </w:r>
    </w:p>
    <w:p>
      <w:pPr>
        <w:spacing w:after="150"/>
      </w:pPr>
      <w:r>
        <w:rPr>
          <w:sz w:val="21"/>
          <w:szCs w:val="21"/>
        </w:rPr>
        <w:t xml:space="preserve">Probabilité et Impact : Faible / Moyen / Élevé. Statut : Ouvert / En cours de mitigation / Clos.</w:t>
      </w:r>
    </w:p>
    <w:p>
      <w:pPr>
        <w:pStyle w:val="Heading1"/>
        <w:spacing w:after="180" w:before="380"/>
      </w:pPr>
      <w:r>
        <w:rPr>
          <w:b/>
          <w:bCs/>
          <w:color w:val="1F3864"/>
          <w:sz w:val="26"/>
          <w:szCs w:val="26"/>
        </w:rPr>
        <w:t xml:space="preserve">Risques identifiés au 26/08/2026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1"/>
        <w:gridCol w:w="2507"/>
        <w:gridCol w:w="1003"/>
        <w:gridCol w:w="1003"/>
        <w:gridCol w:w="1504"/>
        <w:gridCol w:w="2507"/>
      </w:tblGrid>
      <w:tr>
        <w:trPr>
          <w:tblHeader/>
        </w:trPr>
        <w:tc>
          <w:tcPr>
            <w:tcW w:type="dxa" w:w="501"/>
            <w:shd w:fill="1F3864" w:color="auto" w:val="clear"/>
            <w:tcMar>
              <w:top w:type="dxa" w:w="90"/>
              <w:left w:type="dxa" w:w="110"/>
              <w:bottom w:type="dxa" w:w="90"/>
              <w:right w:type="dxa" w:w="110"/>
            </w:tcMar>
          </w:tcPr>
          <w:p>
            <w:r>
              <w:rPr>
                <w:b/>
                <w:bCs/>
                <w:color w:val="FFFFFF"/>
                <w:sz w:val="19"/>
                <w:szCs w:val="19"/>
              </w:rPr>
              <w:t xml:space="preserve">ID</w:t>
            </w:r>
          </w:p>
        </w:tc>
        <w:tc>
          <w:tcPr>
            <w:tcW w:type="dxa" w:w="2507"/>
            <w:shd w:fill="1F3864" w:color="auto" w:val="clear"/>
            <w:tcMar>
              <w:top w:type="dxa" w:w="90"/>
              <w:left w:type="dxa" w:w="110"/>
              <w:bottom w:type="dxa" w:w="90"/>
              <w:right w:type="dxa" w:w="110"/>
            </w:tcMar>
          </w:tcPr>
          <w:p>
            <w:r>
              <w:rPr>
                <w:b/>
                <w:bCs/>
                <w:color w:val="FFFFFF"/>
                <w:sz w:val="19"/>
                <w:szCs w:val="19"/>
              </w:rPr>
              <w:t xml:space="preserve">Risque</w:t>
            </w:r>
          </w:p>
        </w:tc>
        <w:tc>
          <w:tcPr>
            <w:tcW w:type="dxa" w:w="1003"/>
            <w:shd w:fill="1F3864" w:color="auto" w:val="clear"/>
            <w:tcMar>
              <w:top w:type="dxa" w:w="90"/>
              <w:left w:type="dxa" w:w="110"/>
              <w:bottom w:type="dxa" w:w="90"/>
              <w:right w:type="dxa" w:w="110"/>
            </w:tcMar>
          </w:tcPr>
          <w:p>
            <w:r>
              <w:rPr>
                <w:b/>
                <w:bCs/>
                <w:color w:val="FFFFFF"/>
                <w:sz w:val="19"/>
                <w:szCs w:val="19"/>
              </w:rPr>
              <w:t xml:space="preserve">Proba.</w:t>
            </w:r>
          </w:p>
        </w:tc>
        <w:tc>
          <w:tcPr>
            <w:tcW w:type="dxa" w:w="1003"/>
            <w:shd w:fill="1F3864" w:color="auto" w:val="clear"/>
            <w:tcMar>
              <w:top w:type="dxa" w:w="90"/>
              <w:left w:type="dxa" w:w="110"/>
              <w:bottom w:type="dxa" w:w="90"/>
              <w:right w:type="dxa" w:w="110"/>
            </w:tcMar>
          </w:tcPr>
          <w:p>
            <w:r>
              <w:rPr>
                <w:b/>
                <w:bCs/>
                <w:color w:val="FFFFFF"/>
                <w:sz w:val="19"/>
                <w:szCs w:val="19"/>
              </w:rPr>
              <w:t xml:space="preserve">Impact</w:t>
            </w:r>
          </w:p>
        </w:tc>
        <w:tc>
          <w:tcPr>
            <w:tcW w:type="dxa" w:w="1504"/>
            <w:shd w:fill="1F3864" w:color="auto" w:val="clear"/>
            <w:tcMar>
              <w:top w:type="dxa" w:w="90"/>
              <w:left w:type="dxa" w:w="110"/>
              <w:bottom w:type="dxa" w:w="90"/>
              <w:right w:type="dxa" w:w="110"/>
            </w:tcMar>
          </w:tcPr>
          <w:p>
            <w:r>
              <w:rPr>
                <w:b/>
                <w:bCs/>
                <w:color w:val="FFFFFF"/>
                <w:sz w:val="19"/>
                <w:szCs w:val="19"/>
              </w:rPr>
              <w:t xml:space="preserve">Statut</w:t>
            </w:r>
          </w:p>
        </w:tc>
        <w:tc>
          <w:tcPr>
            <w:tcW w:type="dxa" w:w="2507"/>
            <w:shd w:fill="1F3864" w:color="auto" w:val="clear"/>
            <w:tcMar>
              <w:top w:type="dxa" w:w="90"/>
              <w:left w:type="dxa" w:w="110"/>
              <w:bottom w:type="dxa" w:w="90"/>
              <w:right w:type="dxa" w:w="110"/>
            </w:tcMar>
          </w:tcPr>
          <w:p>
            <w:r>
              <w:rPr>
                <w:b/>
                <w:bCs/>
                <w:color w:val="FFFFFF"/>
                <w:sz w:val="19"/>
                <w:szCs w:val="19"/>
              </w:rPr>
              <w:t xml:space="preserve">Action de mitigation</w:t>
            </w:r>
          </w:p>
        </w:tc>
      </w:tr>
      <w:tr>
        <w:tc>
          <w:tcPr>
            <w:tcW w:type="dxa" w:w="501"/>
            <w:shd w:fill="F2F2F2" w:color="auto" w:val="clear"/>
            <w:tcMar>
              <w:top w:type="dxa" w:w="90"/>
              <w:left w:type="dxa" w:w="110"/>
              <w:bottom w:type="dxa" w:w="90"/>
              <w:right w:type="dxa" w:w="110"/>
            </w:tcMar>
          </w:tcPr>
          <w:p>
            <w:r>
              <w:rPr>
                <w:b/>
                <w:bCs/>
                <w:color w:val="000000"/>
                <w:sz w:val="19"/>
                <w:szCs w:val="19"/>
              </w:rPr>
              <w:t xml:space="preserve">R1</w:t>
            </w:r>
          </w:p>
        </w:tc>
        <w:tc>
          <w:tcPr>
            <w:tcW w:type="dxa" w:w="2507"/>
            <w:shd w:fill="F2F2F2" w:color="auto" w:val="clear"/>
            <w:tcMar>
              <w:top w:type="dxa" w:w="90"/>
              <w:left w:type="dxa" w:w="110"/>
              <w:bottom w:type="dxa" w:w="90"/>
              <w:right w:type="dxa" w:w="110"/>
            </w:tcMar>
          </w:tcPr>
          <w:p>
            <w:r>
              <w:rPr>
                <w:b w:val="false"/>
                <w:bCs w:val="false"/>
                <w:color w:val="000000"/>
                <w:sz w:val="19"/>
                <w:szCs w:val="19"/>
              </w:rPr>
              <w:t xml:space="preserve">Identifiants Outlook/Teams non fournis : la notification de l'hôte reste non fonctionnelle en conditions réelles</w:t>
            </w:r>
          </w:p>
        </w:tc>
        <w:tc>
          <w:tcPr>
            <w:tcW w:type="dxa" w:w="1003"/>
            <w:shd w:fill="F2F2F2" w:color="auto" w:val="clear"/>
            <w:tcMar>
              <w:top w:type="dxa" w:w="90"/>
              <w:left w:type="dxa" w:w="110"/>
              <w:bottom w:type="dxa" w:w="90"/>
              <w:right w:type="dxa" w:w="110"/>
            </w:tcMar>
          </w:tcPr>
          <w:p>
            <w:r>
              <w:rPr>
                <w:b w:val="false"/>
                <w:bCs w:val="false"/>
                <w:color w:val="000000"/>
                <w:sz w:val="19"/>
                <w:szCs w:val="19"/>
              </w:rPr>
              <w:t xml:space="preserve">Élevée</w:t>
            </w:r>
          </w:p>
        </w:tc>
        <w:tc>
          <w:tcPr>
            <w:tcW w:type="dxa" w:w="1003"/>
            <w:shd w:fill="F2F2F2" w:color="auto" w:val="clear"/>
            <w:tcMar>
              <w:top w:type="dxa" w:w="90"/>
              <w:left w:type="dxa" w:w="110"/>
              <w:bottom w:type="dxa" w:w="90"/>
              <w:right w:type="dxa" w:w="110"/>
            </w:tcMar>
          </w:tcPr>
          <w:p>
            <w:r>
              <w:rPr>
                <w:b w:val="false"/>
                <w:bCs w:val="false"/>
                <w:color w:val="000000"/>
                <w:sz w:val="19"/>
                <w:szCs w:val="19"/>
              </w:rPr>
              <w:t xml:space="preserve">Élevé</w:t>
            </w:r>
          </w:p>
        </w:tc>
        <w:tc>
          <w:tcPr>
            <w:tcW w:type="dxa" w:w="1504"/>
            <w:shd w:fill="F2F2F2" w:color="auto" w:val="clear"/>
            <w:tcMar>
              <w:top w:type="dxa" w:w="90"/>
              <w:left w:type="dxa" w:w="110"/>
              <w:bottom w:type="dxa" w:w="90"/>
              <w:right w:type="dxa" w:w="110"/>
            </w:tcMar>
          </w:tcPr>
          <w:p>
            <w:r>
              <w:rPr>
                <w:b w:val="false"/>
                <w:bCs w:val="false"/>
                <w:color w:val="000000"/>
                <w:sz w:val="19"/>
                <w:szCs w:val="19"/>
              </w:rPr>
              <w:t xml:space="preserve">Ouvert</w:t>
            </w:r>
          </w:p>
        </w:tc>
        <w:tc>
          <w:tcPr>
            <w:tcW w:type="dxa" w:w="2507"/>
            <w:shd w:fill="F2F2F2" w:color="auto" w:val="clear"/>
            <w:tcMar>
              <w:top w:type="dxa" w:w="90"/>
              <w:left w:type="dxa" w:w="110"/>
              <w:bottom w:type="dxa" w:w="90"/>
              <w:right w:type="dxa" w:w="110"/>
            </w:tcMar>
          </w:tcPr>
          <w:p>
            <w:r>
              <w:rPr>
                <w:b w:val="false"/>
                <w:bCs w:val="false"/>
                <w:color w:val="000000"/>
                <w:sz w:val="19"/>
                <w:szCs w:val="19"/>
              </w:rPr>
              <w:t xml:space="preserve">Demander l'App Registration Azure AD à l'IT ST Digital (voir note de cadrage)</w:t>
            </w:r>
          </w:p>
        </w:tc>
      </w:tr>
      <w:tr>
        <w:tc>
          <w:tcPr>
            <w:tcW w:type="dxa" w:w="501"/>
            <w:shd w:fill="FFFFFF" w:color="auto" w:val="clear"/>
            <w:tcMar>
              <w:top w:type="dxa" w:w="90"/>
              <w:left w:type="dxa" w:w="110"/>
              <w:bottom w:type="dxa" w:w="90"/>
              <w:right w:type="dxa" w:w="110"/>
            </w:tcMar>
          </w:tcPr>
          <w:p>
            <w:r>
              <w:rPr>
                <w:b/>
                <w:bCs/>
                <w:color w:val="000000"/>
                <w:sz w:val="19"/>
                <w:szCs w:val="19"/>
              </w:rPr>
              <w:t xml:space="preserve">R2</w:t>
            </w:r>
          </w:p>
        </w:tc>
        <w:tc>
          <w:tcPr>
            <w:tcW w:type="dxa" w:w="2507"/>
            <w:shd w:fill="FFFFFF" w:color="auto" w:val="clear"/>
            <w:tcMar>
              <w:top w:type="dxa" w:w="90"/>
              <w:left w:type="dxa" w:w="110"/>
              <w:bottom w:type="dxa" w:w="90"/>
              <w:right w:type="dxa" w:w="110"/>
            </w:tcMar>
          </w:tcPr>
          <w:p>
            <w:r>
              <w:rPr>
                <w:b w:val="false"/>
                <w:bCs w:val="false"/>
                <w:color w:val="000000"/>
                <w:sz w:val="19"/>
                <w:szCs w:val="19"/>
              </w:rPr>
              <w:t xml:space="preserve">Persistance : décision prise (27/08) de migrer de n8n Data Tables vers PostgreSQL (remplace la décision Firebase du 26/08) — migration des workflows n8n non encore réalisée</w:t>
            </w:r>
          </w:p>
        </w:tc>
        <w:tc>
          <w:tcPr>
            <w:tcW w:type="dxa" w:w="1003"/>
            <w:shd w:fill="FFFFFF" w:color="auto" w:val="clear"/>
            <w:tcMar>
              <w:top w:type="dxa" w:w="90"/>
              <w:left w:type="dxa" w:w="110"/>
              <w:bottom w:type="dxa" w:w="90"/>
              <w:right w:type="dxa" w:w="110"/>
            </w:tcMar>
          </w:tcPr>
          <w:p>
            <w:r>
              <w:rPr>
                <w:b w:val="false"/>
                <w:bCs w:val="false"/>
                <w:color w:val="000000"/>
                <w:sz w:val="19"/>
                <w:szCs w:val="19"/>
              </w:rPr>
              <w:t xml:space="preserve">Moyenne</w:t>
            </w:r>
          </w:p>
        </w:tc>
        <w:tc>
          <w:tcPr>
            <w:tcW w:type="dxa" w:w="1003"/>
            <w:shd w:fill="FFFFFF" w:color="auto" w:val="clear"/>
            <w:tcMar>
              <w:top w:type="dxa" w:w="90"/>
              <w:left w:type="dxa" w:w="110"/>
              <w:bottom w:type="dxa" w:w="90"/>
              <w:right w:type="dxa" w:w="110"/>
            </w:tcMar>
          </w:tcPr>
          <w:p>
            <w:r>
              <w:rPr>
                <w:b w:val="false"/>
                <w:bCs w:val="false"/>
                <w:color w:val="000000"/>
                <w:sz w:val="19"/>
                <w:szCs w:val="19"/>
              </w:rPr>
              <w:t xml:space="preserve">Moyen</w:t>
            </w:r>
          </w:p>
        </w:tc>
        <w:tc>
          <w:tcPr>
            <w:tcW w:type="dxa" w:w="1504"/>
            <w:shd w:fill="FFFFFF" w:color="auto" w:val="clear"/>
            <w:tcMar>
              <w:top w:type="dxa" w:w="90"/>
              <w:left w:type="dxa" w:w="110"/>
              <w:bottom w:type="dxa" w:w="90"/>
              <w:right w:type="dxa" w:w="110"/>
            </w:tcMar>
          </w:tcPr>
          <w:p>
            <w:r>
              <w:rPr>
                <w:b w:val="false"/>
                <w:bCs w:val="false"/>
                <w:color w:val="000000"/>
                <w:sz w:val="19"/>
                <w:szCs w:val="19"/>
              </w:rPr>
              <w:t xml:space="preserve">En cours de mitigation</w:t>
            </w:r>
          </w:p>
        </w:tc>
        <w:tc>
          <w:tcPr>
            <w:tcW w:type="dxa" w:w="2507"/>
            <w:shd w:fill="FFFFFF" w:color="auto" w:val="clear"/>
            <w:tcMar>
              <w:top w:type="dxa" w:w="90"/>
              <w:left w:type="dxa" w:w="110"/>
              <w:bottom w:type="dxa" w:w="90"/>
              <w:right w:type="dxa" w:w="110"/>
            </w:tcMar>
          </w:tcPr>
          <w:p>
            <w:r>
              <w:rPr>
                <w:b w:val="false"/>
                <w:bCs w:val="false"/>
                <w:color w:val="000000"/>
                <w:sz w:val="19"/>
                <w:szCs w:val="19"/>
              </w:rPr>
              <w:t xml:space="preserve">Décision actée. Reste à faire : migrer les workflows n8n (Data Table → Postgres)</w:t>
            </w:r>
          </w:p>
        </w:tc>
      </w:tr>
      <w:tr>
        <w:tc>
          <w:tcPr>
            <w:tcW w:type="dxa" w:w="501"/>
            <w:shd w:fill="F2F2F2" w:color="auto" w:val="clear"/>
            <w:tcMar>
              <w:top w:type="dxa" w:w="90"/>
              <w:left w:type="dxa" w:w="110"/>
              <w:bottom w:type="dxa" w:w="90"/>
              <w:right w:type="dxa" w:w="110"/>
            </w:tcMar>
          </w:tcPr>
          <w:p>
            <w:r>
              <w:rPr>
                <w:b/>
                <w:bCs/>
                <w:color w:val="000000"/>
                <w:sz w:val="19"/>
                <w:szCs w:val="19"/>
              </w:rPr>
              <w:t xml:space="preserve">R2b</w:t>
            </w:r>
          </w:p>
        </w:tc>
        <w:tc>
          <w:tcPr>
            <w:tcW w:type="dxa" w:w="2507"/>
            <w:shd w:fill="F2F2F2" w:color="auto" w:val="clear"/>
            <w:tcMar>
              <w:top w:type="dxa" w:w="90"/>
              <w:left w:type="dxa" w:w="110"/>
              <w:bottom w:type="dxa" w:w="90"/>
              <w:right w:type="dxa" w:w="110"/>
            </w:tcMar>
          </w:tcPr>
          <w:p>
            <w:r>
              <w:rPr>
                <w:b w:val="false"/>
                <w:bCs w:val="false"/>
                <w:color w:val="000000"/>
                <w:sz w:val="19"/>
                <w:szCs w:val="19"/>
              </w:rPr>
              <w:t xml:space="preserve">La tour (Ollama + n8n auto-hébergé, future base Postgres) est un poste personnel de la stagiaire, pas un serveur : disponibilité dépendante du poste allumé/connecté en permanence. Depuis le 01/09/2026, n8n auto-hébergé (chat Isaac) tourne sur cette même tour, donc n'est plus injoignable par n8n.cloud pour ce composant précis — mais les workflows rendez-vous/notifications restent sur n8n.cloud et gardent le problème de portée réseau initial.</w:t>
            </w:r>
          </w:p>
        </w:tc>
        <w:tc>
          <w:tcPr>
            <w:tcW w:type="dxa" w:w="1003"/>
            <w:shd w:fill="F2F2F2" w:color="auto" w:val="clear"/>
            <w:tcMar>
              <w:top w:type="dxa" w:w="90"/>
              <w:left w:type="dxa" w:w="110"/>
              <w:bottom w:type="dxa" w:w="90"/>
              <w:right w:type="dxa" w:w="110"/>
            </w:tcMar>
          </w:tcPr>
          <w:p>
            <w:r>
              <w:rPr>
                <w:b w:val="false"/>
                <w:bCs w:val="false"/>
                <w:color w:val="000000"/>
                <w:sz w:val="19"/>
                <w:szCs w:val="19"/>
              </w:rPr>
              <w:t xml:space="preserve">Élevée</w:t>
            </w:r>
          </w:p>
        </w:tc>
        <w:tc>
          <w:tcPr>
            <w:tcW w:type="dxa" w:w="1003"/>
            <w:shd w:fill="F2F2F2" w:color="auto" w:val="clear"/>
            <w:tcMar>
              <w:top w:type="dxa" w:w="90"/>
              <w:left w:type="dxa" w:w="110"/>
              <w:bottom w:type="dxa" w:w="90"/>
              <w:right w:type="dxa" w:w="110"/>
            </w:tcMar>
          </w:tcPr>
          <w:p>
            <w:r>
              <w:rPr>
                <w:b w:val="false"/>
                <w:bCs w:val="false"/>
                <w:color w:val="000000"/>
                <w:sz w:val="19"/>
                <w:szCs w:val="19"/>
              </w:rPr>
              <w:t xml:space="preserve">Élevé</w:t>
            </w:r>
          </w:p>
        </w:tc>
        <w:tc>
          <w:tcPr>
            <w:tcW w:type="dxa" w:w="1504"/>
            <w:shd w:fill="F2F2F2" w:color="auto" w:val="clear"/>
            <w:tcMar>
              <w:top w:type="dxa" w:w="90"/>
              <w:left w:type="dxa" w:w="110"/>
              <w:bottom w:type="dxa" w:w="90"/>
              <w:right w:type="dxa" w:w="110"/>
            </w:tcMar>
          </w:tcPr>
          <w:p>
            <w:r>
              <w:rPr>
                <w:b w:val="false"/>
                <w:bCs w:val="false"/>
                <w:color w:val="000000"/>
                <w:sz w:val="19"/>
                <w:szCs w:val="19"/>
              </w:rPr>
              <w:t xml:space="preserve">En cours de mitigation</w:t>
            </w:r>
          </w:p>
        </w:tc>
        <w:tc>
          <w:tcPr>
            <w:tcW w:type="dxa" w:w="2507"/>
            <w:shd w:fill="F2F2F2" w:color="auto" w:val="clear"/>
            <w:tcMar>
              <w:top w:type="dxa" w:w="90"/>
              <w:left w:type="dxa" w:w="110"/>
              <w:bottom w:type="dxa" w:w="90"/>
              <w:right w:type="dxa" w:w="110"/>
            </w:tcMar>
          </w:tcPr>
          <w:p>
            <w:r>
              <w:rPr>
                <w:b w:val="false"/>
                <w:bCs w:val="false"/>
                <w:color w:val="000000"/>
                <w:sz w:val="19"/>
                <w:szCs w:val="19"/>
              </w:rPr>
              <w:t xml:space="preserve">Migrer aussi les workflows rendez-vous/notifications vers l'instance auto-hébergée (ou exposer explicitement la tour) ; en attendant, prévoir alimentation secourue (onduleur) et connexion filaire pour la tour</w:t>
            </w:r>
          </w:p>
        </w:tc>
      </w:tr>
      <w:tr>
        <w:tc>
          <w:tcPr>
            <w:tcW w:type="dxa" w:w="501"/>
            <w:shd w:fill="FFFFFF" w:color="auto" w:val="clear"/>
            <w:tcMar>
              <w:top w:type="dxa" w:w="90"/>
              <w:left w:type="dxa" w:w="110"/>
              <w:bottom w:type="dxa" w:w="90"/>
              <w:right w:type="dxa" w:w="110"/>
            </w:tcMar>
          </w:tcPr>
          <w:p>
            <w:r>
              <w:rPr>
                <w:b/>
                <w:bCs/>
                <w:color w:val="000000"/>
                <w:sz w:val="19"/>
                <w:szCs w:val="19"/>
              </w:rPr>
              <w:t xml:space="preserve">R3</w:t>
            </w:r>
          </w:p>
        </w:tc>
        <w:tc>
          <w:tcPr>
            <w:tcW w:type="dxa" w:w="2507"/>
            <w:shd w:fill="FFFFFF" w:color="auto" w:val="clear"/>
            <w:tcMar>
              <w:top w:type="dxa" w:w="90"/>
              <w:left w:type="dxa" w:w="110"/>
              <w:bottom w:type="dxa" w:w="90"/>
              <w:right w:type="dxa" w:w="110"/>
            </w:tcMar>
          </w:tcPr>
          <w:p>
            <w:r>
              <w:rPr>
                <w:b w:val="false"/>
                <w:bCs w:val="false"/>
                <w:color w:val="000000"/>
                <w:sz w:val="19"/>
                <w:szCs w:val="19"/>
              </w:rPr>
              <w:t xml:space="preserve">Pièces d'identité et photos des visiteurs captées mais non stockées : incohérence fonctionnelle et question RGPD non tranchée</w:t>
            </w:r>
          </w:p>
        </w:tc>
        <w:tc>
          <w:tcPr>
            <w:tcW w:type="dxa" w:w="1003"/>
            <w:shd w:fill="FFFFFF" w:color="auto" w:val="clear"/>
            <w:tcMar>
              <w:top w:type="dxa" w:w="90"/>
              <w:left w:type="dxa" w:w="110"/>
              <w:bottom w:type="dxa" w:w="90"/>
              <w:right w:type="dxa" w:w="110"/>
            </w:tcMar>
          </w:tcPr>
          <w:p>
            <w:r>
              <w:rPr>
                <w:b w:val="false"/>
                <w:bCs w:val="false"/>
                <w:color w:val="000000"/>
                <w:sz w:val="19"/>
                <w:szCs w:val="19"/>
              </w:rPr>
              <w:t xml:space="preserve">Élevée</w:t>
            </w:r>
          </w:p>
        </w:tc>
        <w:tc>
          <w:tcPr>
            <w:tcW w:type="dxa" w:w="1003"/>
            <w:shd w:fill="FFFFFF" w:color="auto" w:val="clear"/>
            <w:tcMar>
              <w:top w:type="dxa" w:w="90"/>
              <w:left w:type="dxa" w:w="110"/>
              <w:bottom w:type="dxa" w:w="90"/>
              <w:right w:type="dxa" w:w="110"/>
            </w:tcMar>
          </w:tcPr>
          <w:p>
            <w:r>
              <w:rPr>
                <w:b w:val="false"/>
                <w:bCs w:val="false"/>
                <w:color w:val="000000"/>
                <w:sz w:val="19"/>
                <w:szCs w:val="19"/>
              </w:rPr>
              <w:t xml:space="preserve">Élevé</w:t>
            </w:r>
          </w:p>
        </w:tc>
        <w:tc>
          <w:tcPr>
            <w:tcW w:type="dxa" w:w="1504"/>
            <w:shd w:fill="FFFFFF" w:color="auto" w:val="clear"/>
            <w:tcMar>
              <w:top w:type="dxa" w:w="90"/>
              <w:left w:type="dxa" w:w="110"/>
              <w:bottom w:type="dxa" w:w="90"/>
              <w:right w:type="dxa" w:w="110"/>
            </w:tcMar>
          </w:tcPr>
          <w:p>
            <w:r>
              <w:rPr>
                <w:b w:val="false"/>
                <w:bCs w:val="false"/>
                <w:color w:val="000000"/>
                <w:sz w:val="19"/>
                <w:szCs w:val="19"/>
              </w:rPr>
              <w:t xml:space="preserve">Ouvert</w:t>
            </w:r>
          </w:p>
        </w:tc>
        <w:tc>
          <w:tcPr>
            <w:tcW w:type="dxa" w:w="2507"/>
            <w:shd w:fill="FFFFFF" w:color="auto" w:val="clear"/>
            <w:tcMar>
              <w:top w:type="dxa" w:w="90"/>
              <w:left w:type="dxa" w:w="110"/>
              <w:bottom w:type="dxa" w:w="90"/>
              <w:right w:type="dxa" w:w="110"/>
            </w:tcMar>
          </w:tcPr>
          <w:p>
            <w:r>
              <w:rPr>
                <w:b w:val="false"/>
                <w:bCs w:val="false"/>
                <w:color w:val="000000"/>
                <w:sz w:val="19"/>
                <w:szCs w:val="19"/>
              </w:rPr>
              <w:t xml:space="preserve">Une base Postgres permettrait ce stockage techniquement (bytea ou référence externe), mais aucun code d'upload n'existe encore côté frontend ; décision à valider avant mise en production</w:t>
            </w:r>
          </w:p>
        </w:tc>
      </w:tr>
      <w:tr>
        <w:tc>
          <w:tcPr>
            <w:tcW w:type="dxa" w:w="501"/>
            <w:shd w:fill="F2F2F2" w:color="auto" w:val="clear"/>
            <w:tcMar>
              <w:top w:type="dxa" w:w="90"/>
              <w:left w:type="dxa" w:w="110"/>
              <w:bottom w:type="dxa" w:w="90"/>
              <w:right w:type="dxa" w:w="110"/>
            </w:tcMar>
          </w:tcPr>
          <w:p>
            <w:r>
              <w:rPr>
                <w:b/>
                <w:bCs/>
                <w:color w:val="000000"/>
                <w:sz w:val="19"/>
                <w:szCs w:val="19"/>
              </w:rPr>
              <w:t xml:space="preserve">R4</w:t>
            </w:r>
          </w:p>
        </w:tc>
        <w:tc>
          <w:tcPr>
            <w:tcW w:type="dxa" w:w="2507"/>
            <w:shd w:fill="F2F2F2" w:color="auto" w:val="clear"/>
            <w:tcMar>
              <w:top w:type="dxa" w:w="90"/>
              <w:left w:type="dxa" w:w="110"/>
              <w:bottom w:type="dxa" w:w="90"/>
              <w:right w:type="dxa" w:w="110"/>
            </w:tcMar>
          </w:tcPr>
          <w:p>
            <w:r>
              <w:rPr>
                <w:b w:val="false"/>
                <w:bCs w:val="false"/>
                <w:color w:val="000000"/>
                <w:sz w:val="19"/>
                <w:szCs w:val="19"/>
              </w:rPr>
              <w:t xml:space="preserve">Aucune notion d'expiration pour un code d'invitation QR : risque de réutilisation indéfinie</w:t>
            </w:r>
          </w:p>
        </w:tc>
        <w:tc>
          <w:tcPr>
            <w:tcW w:type="dxa" w:w="1003"/>
            <w:shd w:fill="F2F2F2" w:color="auto" w:val="clear"/>
            <w:tcMar>
              <w:top w:type="dxa" w:w="90"/>
              <w:left w:type="dxa" w:w="110"/>
              <w:bottom w:type="dxa" w:w="90"/>
              <w:right w:type="dxa" w:w="110"/>
            </w:tcMar>
          </w:tcPr>
          <w:p>
            <w:r>
              <w:rPr>
                <w:b w:val="false"/>
                <w:bCs w:val="false"/>
                <w:color w:val="000000"/>
                <w:sz w:val="19"/>
                <w:szCs w:val="19"/>
              </w:rPr>
              <w:t xml:space="preserve">Moyenne</w:t>
            </w:r>
          </w:p>
        </w:tc>
        <w:tc>
          <w:tcPr>
            <w:tcW w:type="dxa" w:w="1003"/>
            <w:shd w:fill="F2F2F2" w:color="auto" w:val="clear"/>
            <w:tcMar>
              <w:top w:type="dxa" w:w="90"/>
              <w:left w:type="dxa" w:w="110"/>
              <w:bottom w:type="dxa" w:w="90"/>
              <w:right w:type="dxa" w:w="110"/>
            </w:tcMar>
          </w:tcPr>
          <w:p>
            <w:r>
              <w:rPr>
                <w:b w:val="false"/>
                <w:bCs w:val="false"/>
                <w:color w:val="000000"/>
                <w:sz w:val="19"/>
                <w:szCs w:val="19"/>
              </w:rPr>
              <w:t xml:space="preserve">Moyen</w:t>
            </w:r>
          </w:p>
        </w:tc>
        <w:tc>
          <w:tcPr>
            <w:tcW w:type="dxa" w:w="1504"/>
            <w:shd w:fill="F2F2F2" w:color="auto" w:val="clear"/>
            <w:tcMar>
              <w:top w:type="dxa" w:w="90"/>
              <w:left w:type="dxa" w:w="110"/>
              <w:bottom w:type="dxa" w:w="90"/>
              <w:right w:type="dxa" w:w="110"/>
            </w:tcMar>
          </w:tcPr>
          <w:p>
            <w:r>
              <w:rPr>
                <w:b w:val="false"/>
                <w:bCs w:val="false"/>
                <w:color w:val="000000"/>
                <w:sz w:val="19"/>
                <w:szCs w:val="19"/>
              </w:rPr>
              <w:t xml:space="preserve">Ouvert</w:t>
            </w:r>
          </w:p>
        </w:tc>
        <w:tc>
          <w:tcPr>
            <w:tcW w:type="dxa" w:w="2507"/>
            <w:shd w:fill="F2F2F2" w:color="auto" w:val="clear"/>
            <w:tcMar>
              <w:top w:type="dxa" w:w="90"/>
              <w:left w:type="dxa" w:w="110"/>
              <w:bottom w:type="dxa" w:w="90"/>
              <w:right w:type="dxa" w:w="110"/>
            </w:tcMar>
          </w:tcPr>
          <w:p>
            <w:r>
              <w:rPr>
                <w:b w:val="false"/>
                <w:bCs w:val="false"/>
                <w:color w:val="000000"/>
                <w:sz w:val="19"/>
                <w:szCs w:val="19"/>
              </w:rPr>
              <w:t xml:space="preserve">Faire spécifier une règle d'expiration côté contrat n8n avant développement frontend</w:t>
            </w:r>
          </w:p>
        </w:tc>
      </w:tr>
      <w:tr>
        <w:tc>
          <w:tcPr>
            <w:tcW w:type="dxa" w:w="501"/>
            <w:shd w:fill="FFFFFF" w:color="auto" w:val="clear"/>
            <w:tcMar>
              <w:top w:type="dxa" w:w="90"/>
              <w:left w:type="dxa" w:w="110"/>
              <w:bottom w:type="dxa" w:w="90"/>
              <w:right w:type="dxa" w:w="110"/>
            </w:tcMar>
          </w:tcPr>
          <w:p>
            <w:r>
              <w:rPr>
                <w:b/>
                <w:bCs/>
                <w:color w:val="000000"/>
                <w:sz w:val="19"/>
                <w:szCs w:val="19"/>
              </w:rPr>
              <w:t xml:space="preserve">R5</w:t>
            </w:r>
          </w:p>
        </w:tc>
        <w:tc>
          <w:tcPr>
            <w:tcW w:type="dxa" w:w="2507"/>
            <w:shd w:fill="FFFFFF" w:color="auto" w:val="clear"/>
            <w:tcMar>
              <w:top w:type="dxa" w:w="90"/>
              <w:left w:type="dxa" w:w="110"/>
              <w:bottom w:type="dxa" w:w="90"/>
              <w:right w:type="dxa" w:w="110"/>
            </w:tcMar>
          </w:tcPr>
          <w:p>
            <w:r>
              <w:rPr>
                <w:b w:val="false"/>
                <w:bCs w:val="false"/>
                <w:color w:val="000000"/>
                <w:sz w:val="19"/>
                <w:szCs w:val="19"/>
              </w:rPr>
              <w:t xml:space="preserve">Comportement non défini si l'hôte notifié ne répond pas / est absent</w:t>
            </w:r>
          </w:p>
        </w:tc>
        <w:tc>
          <w:tcPr>
            <w:tcW w:type="dxa" w:w="1003"/>
            <w:shd w:fill="FFFFFF" w:color="auto" w:val="clear"/>
            <w:tcMar>
              <w:top w:type="dxa" w:w="90"/>
              <w:left w:type="dxa" w:w="110"/>
              <w:bottom w:type="dxa" w:w="90"/>
              <w:right w:type="dxa" w:w="110"/>
            </w:tcMar>
          </w:tcPr>
          <w:p>
            <w:r>
              <w:rPr>
                <w:b w:val="false"/>
                <w:bCs w:val="false"/>
                <w:color w:val="000000"/>
                <w:sz w:val="19"/>
                <w:szCs w:val="19"/>
              </w:rPr>
              <w:t xml:space="preserve">Moyenne</w:t>
            </w:r>
          </w:p>
        </w:tc>
        <w:tc>
          <w:tcPr>
            <w:tcW w:type="dxa" w:w="1003"/>
            <w:shd w:fill="FFFFFF" w:color="auto" w:val="clear"/>
            <w:tcMar>
              <w:top w:type="dxa" w:w="90"/>
              <w:left w:type="dxa" w:w="110"/>
              <w:bottom w:type="dxa" w:w="90"/>
              <w:right w:type="dxa" w:w="110"/>
            </w:tcMar>
          </w:tcPr>
          <w:p>
            <w:r>
              <w:rPr>
                <w:b w:val="false"/>
                <w:bCs w:val="false"/>
                <w:color w:val="000000"/>
                <w:sz w:val="19"/>
                <w:szCs w:val="19"/>
              </w:rPr>
              <w:t xml:space="preserve">Moyen</w:t>
            </w:r>
          </w:p>
        </w:tc>
        <w:tc>
          <w:tcPr>
            <w:tcW w:type="dxa" w:w="1504"/>
            <w:shd w:fill="FFFFFF" w:color="auto" w:val="clear"/>
            <w:tcMar>
              <w:top w:type="dxa" w:w="90"/>
              <w:left w:type="dxa" w:w="110"/>
              <w:bottom w:type="dxa" w:w="90"/>
              <w:right w:type="dxa" w:w="110"/>
            </w:tcMar>
          </w:tcPr>
          <w:p>
            <w:r>
              <w:rPr>
                <w:b w:val="false"/>
                <w:bCs w:val="false"/>
                <w:color w:val="000000"/>
                <w:sz w:val="19"/>
                <w:szCs w:val="19"/>
              </w:rPr>
              <w:t xml:space="preserve">Ouvert</w:t>
            </w:r>
          </w:p>
        </w:tc>
        <w:tc>
          <w:tcPr>
            <w:tcW w:type="dxa" w:w="2507"/>
            <w:shd w:fill="FFFFFF" w:color="auto" w:val="clear"/>
            <w:tcMar>
              <w:top w:type="dxa" w:w="90"/>
              <w:left w:type="dxa" w:w="110"/>
              <w:bottom w:type="dxa" w:w="90"/>
              <w:right w:type="dxa" w:w="110"/>
            </w:tcMar>
          </w:tcPr>
          <w:p>
            <w:r>
              <w:rPr>
                <w:b w:val="false"/>
                <w:bCs w:val="false"/>
                <w:color w:val="000000"/>
                <w:sz w:val="19"/>
                <w:szCs w:val="19"/>
              </w:rPr>
              <w:t xml:space="preserve">Spécifier le comportement attendu avec la tutrice / l'équipe d'accueil</w:t>
            </w:r>
          </w:p>
        </w:tc>
      </w:tr>
      <w:tr>
        <w:tc>
          <w:tcPr>
            <w:tcW w:type="dxa" w:w="501"/>
            <w:shd w:fill="F2F2F2" w:color="auto" w:val="clear"/>
            <w:tcMar>
              <w:top w:type="dxa" w:w="90"/>
              <w:left w:type="dxa" w:w="110"/>
              <w:bottom w:type="dxa" w:w="90"/>
              <w:right w:type="dxa" w:w="110"/>
            </w:tcMar>
          </w:tcPr>
          <w:p>
            <w:r>
              <w:rPr>
                <w:b/>
                <w:bCs/>
                <w:color w:val="000000"/>
                <w:sz w:val="19"/>
                <w:szCs w:val="19"/>
              </w:rPr>
              <w:t xml:space="preserve">R6</w:t>
            </w:r>
          </w:p>
        </w:tc>
        <w:tc>
          <w:tcPr>
            <w:tcW w:type="dxa" w:w="2507"/>
            <w:shd w:fill="F2F2F2" w:color="auto" w:val="clear"/>
            <w:tcMar>
              <w:top w:type="dxa" w:w="90"/>
              <w:left w:type="dxa" w:w="110"/>
              <w:bottom w:type="dxa" w:w="90"/>
              <w:right w:type="dxa" w:w="110"/>
            </w:tcMar>
          </w:tcPr>
          <w:p>
            <w:r>
              <w:rPr>
                <w:b w:val="false"/>
                <w:bCs w:val="false"/>
                <w:color w:val="000000"/>
                <w:sz w:val="19"/>
                <w:szCs w:val="19"/>
              </w:rPr>
              <w:t xml:space="preserve">Historique de désynchronisation OneDrive déjà survenu (perte de fichiers du projet fin août)</w:t>
            </w:r>
          </w:p>
        </w:tc>
        <w:tc>
          <w:tcPr>
            <w:tcW w:type="dxa" w:w="1003"/>
            <w:shd w:fill="F2F2F2" w:color="auto" w:val="clear"/>
            <w:tcMar>
              <w:top w:type="dxa" w:w="90"/>
              <w:left w:type="dxa" w:w="110"/>
              <w:bottom w:type="dxa" w:w="90"/>
              <w:right w:type="dxa" w:w="110"/>
            </w:tcMar>
          </w:tcPr>
          <w:p>
            <w:r>
              <w:rPr>
                <w:b w:val="false"/>
                <w:bCs w:val="false"/>
                <w:color w:val="000000"/>
                <w:sz w:val="19"/>
                <w:szCs w:val="19"/>
              </w:rPr>
              <w:t xml:space="preserve">Faible (déjà survenu)</w:t>
            </w:r>
          </w:p>
        </w:tc>
        <w:tc>
          <w:tcPr>
            <w:tcW w:type="dxa" w:w="1003"/>
            <w:shd w:fill="F2F2F2" w:color="auto" w:val="clear"/>
            <w:tcMar>
              <w:top w:type="dxa" w:w="90"/>
              <w:left w:type="dxa" w:w="110"/>
              <w:bottom w:type="dxa" w:w="90"/>
              <w:right w:type="dxa" w:w="110"/>
            </w:tcMar>
          </w:tcPr>
          <w:p>
            <w:r>
              <w:rPr>
                <w:b w:val="false"/>
                <w:bCs w:val="false"/>
                <w:color w:val="000000"/>
                <w:sz w:val="19"/>
                <w:szCs w:val="19"/>
              </w:rPr>
              <w:t xml:space="preserve">Élevé</w:t>
            </w:r>
          </w:p>
        </w:tc>
        <w:tc>
          <w:tcPr>
            <w:tcW w:type="dxa" w:w="1504"/>
            <w:shd w:fill="F2F2F2" w:color="auto" w:val="clear"/>
            <w:tcMar>
              <w:top w:type="dxa" w:w="90"/>
              <w:left w:type="dxa" w:w="110"/>
              <w:bottom w:type="dxa" w:w="90"/>
              <w:right w:type="dxa" w:w="110"/>
            </w:tcMar>
          </w:tcPr>
          <w:p>
            <w:r>
              <w:rPr>
                <w:b w:val="false"/>
                <w:bCs w:val="false"/>
                <w:color w:val="000000"/>
                <w:sz w:val="19"/>
                <w:szCs w:val="19"/>
              </w:rPr>
              <w:t xml:space="preserve">En cours de mitigation</w:t>
            </w:r>
          </w:p>
        </w:tc>
        <w:tc>
          <w:tcPr>
            <w:tcW w:type="dxa" w:w="2507"/>
            <w:shd w:fill="F2F2F2" w:color="auto" w:val="clear"/>
            <w:tcMar>
              <w:top w:type="dxa" w:w="90"/>
              <w:left w:type="dxa" w:w="110"/>
              <w:bottom w:type="dxa" w:w="90"/>
              <w:right w:type="dxa" w:w="110"/>
            </w:tcMar>
          </w:tcPr>
          <w:p>
            <w:r>
              <w:rPr>
                <w:b w:val="false"/>
                <w:bCs w:val="false"/>
                <w:color w:val="000000"/>
                <w:sz w:val="19"/>
                <w:szCs w:val="19"/>
              </w:rPr>
              <w:t xml:space="preserve">Copie de travail hors OneDrive utilisée comme source de vérité ; sauvegardes zip régulières recommandées</w:t>
            </w:r>
          </w:p>
        </w:tc>
      </w:tr>
      <w:tr>
        <w:tc>
          <w:tcPr>
            <w:tcW w:type="dxa" w:w="501"/>
            <w:shd w:fill="FFFFFF" w:color="auto" w:val="clear"/>
            <w:tcMar>
              <w:top w:type="dxa" w:w="90"/>
              <w:left w:type="dxa" w:w="110"/>
              <w:bottom w:type="dxa" w:w="90"/>
              <w:right w:type="dxa" w:w="110"/>
            </w:tcMar>
          </w:tcPr>
          <w:p>
            <w:r>
              <w:rPr>
                <w:b/>
                <w:bCs/>
                <w:color w:val="000000"/>
                <w:sz w:val="19"/>
                <w:szCs w:val="19"/>
              </w:rPr>
              <w:t xml:space="preserve">R7</w:t>
            </w:r>
          </w:p>
        </w:tc>
        <w:tc>
          <w:tcPr>
            <w:tcW w:type="dxa" w:w="2507"/>
            <w:shd w:fill="FFFFFF" w:color="auto" w:val="clear"/>
            <w:tcMar>
              <w:top w:type="dxa" w:w="90"/>
              <w:left w:type="dxa" w:w="110"/>
              <w:bottom w:type="dxa" w:w="90"/>
              <w:right w:type="dxa" w:w="110"/>
            </w:tcMar>
          </w:tcPr>
          <w:p>
            <w:r>
              <w:rPr>
                <w:b w:val="false"/>
                <w:bCs w:val="false"/>
                <w:color w:val="000000"/>
                <w:sz w:val="19"/>
                <w:szCs w:val="19"/>
              </w:rPr>
              <w:t xml:space="preserve">Absence de back-office : aucun moyen pour le personnel de gérer manuellement les rendez-vous</w:t>
            </w:r>
          </w:p>
        </w:tc>
        <w:tc>
          <w:tcPr>
            <w:tcW w:type="dxa" w:w="1003"/>
            <w:shd w:fill="FFFFFF" w:color="auto" w:val="clear"/>
            <w:tcMar>
              <w:top w:type="dxa" w:w="90"/>
              <w:left w:type="dxa" w:w="110"/>
              <w:bottom w:type="dxa" w:w="90"/>
              <w:right w:type="dxa" w:w="110"/>
            </w:tcMar>
          </w:tcPr>
          <w:p>
            <w:r>
              <w:rPr>
                <w:b w:val="false"/>
                <w:bCs w:val="false"/>
                <w:color w:val="000000"/>
                <w:sz w:val="19"/>
                <w:szCs w:val="19"/>
              </w:rPr>
              <w:t xml:space="preserve">Élevée</w:t>
            </w:r>
          </w:p>
        </w:tc>
        <w:tc>
          <w:tcPr>
            <w:tcW w:type="dxa" w:w="1003"/>
            <w:shd w:fill="FFFFFF" w:color="auto" w:val="clear"/>
            <w:tcMar>
              <w:top w:type="dxa" w:w="90"/>
              <w:left w:type="dxa" w:w="110"/>
              <w:bottom w:type="dxa" w:w="90"/>
              <w:right w:type="dxa" w:w="110"/>
            </w:tcMar>
          </w:tcPr>
          <w:p>
            <w:r>
              <w:rPr>
                <w:b w:val="false"/>
                <w:bCs w:val="false"/>
                <w:color w:val="000000"/>
                <w:sz w:val="19"/>
                <w:szCs w:val="19"/>
              </w:rPr>
              <w:t xml:space="preserve">Moyen</w:t>
            </w:r>
          </w:p>
        </w:tc>
        <w:tc>
          <w:tcPr>
            <w:tcW w:type="dxa" w:w="1504"/>
            <w:shd w:fill="FFFFFF" w:color="auto" w:val="clear"/>
            <w:tcMar>
              <w:top w:type="dxa" w:w="90"/>
              <w:left w:type="dxa" w:w="110"/>
              <w:bottom w:type="dxa" w:w="90"/>
              <w:right w:type="dxa" w:w="110"/>
            </w:tcMar>
          </w:tcPr>
          <w:p>
            <w:r>
              <w:rPr>
                <w:b w:val="false"/>
                <w:bCs w:val="false"/>
                <w:color w:val="000000"/>
                <w:sz w:val="19"/>
                <w:szCs w:val="19"/>
              </w:rPr>
              <w:t xml:space="preserve">Ouvert</w:t>
            </w:r>
          </w:p>
        </w:tc>
        <w:tc>
          <w:tcPr>
            <w:tcW w:type="dxa" w:w="2507"/>
            <w:shd w:fill="FFFFFF" w:color="auto" w:val="clear"/>
            <w:tcMar>
              <w:top w:type="dxa" w:w="90"/>
              <w:left w:type="dxa" w:w="110"/>
              <w:bottom w:type="dxa" w:w="90"/>
              <w:right w:type="dxa" w:w="110"/>
            </w:tcMar>
          </w:tcPr>
          <w:p>
            <w:r>
              <w:rPr>
                <w:b w:val="false"/>
                <w:bCs w:val="false"/>
                <w:color w:val="000000"/>
                <w:sz w:val="19"/>
                <w:szCs w:val="19"/>
              </w:rPr>
              <w:t xml:space="preserve">Spécifier le périmètre minimal avec la tutrice (voir note de cadrage)</w:t>
            </w:r>
          </w:p>
        </w:tc>
      </w:tr>
      <w:tr>
        <w:tc>
          <w:tcPr>
            <w:tcW w:type="dxa" w:w="501"/>
            <w:shd w:fill="F2F2F2" w:color="auto" w:val="clear"/>
            <w:tcMar>
              <w:top w:type="dxa" w:w="90"/>
              <w:left w:type="dxa" w:w="110"/>
              <w:bottom w:type="dxa" w:w="90"/>
              <w:right w:type="dxa" w:w="110"/>
            </w:tcMar>
          </w:tcPr>
          <w:p>
            <w:r>
              <w:rPr>
                <w:b/>
                <w:bCs/>
                <w:color w:val="000000"/>
                <w:sz w:val="19"/>
                <w:szCs w:val="19"/>
              </w:rPr>
              <w:t xml:space="preserve">R8</w:t>
            </w:r>
          </w:p>
        </w:tc>
        <w:tc>
          <w:tcPr>
            <w:tcW w:type="dxa" w:w="2507"/>
            <w:shd w:fill="F2F2F2" w:color="auto" w:val="clear"/>
            <w:tcMar>
              <w:top w:type="dxa" w:w="90"/>
              <w:left w:type="dxa" w:w="110"/>
              <w:bottom w:type="dxa" w:w="90"/>
              <w:right w:type="dxa" w:w="110"/>
            </w:tcMar>
          </w:tcPr>
          <w:p>
            <w:r>
              <w:rPr>
                <w:b w:val="false"/>
                <w:bCs w:val="false"/>
                <w:color w:val="000000"/>
                <w:sz w:val="19"/>
                <w:szCs w:val="19"/>
              </w:rPr>
              <w:t xml:space="preserve">Un seul développeur (la stagiaire) sur toute la durée du projet : risque de continuité en cas d'indisponibilité</w:t>
            </w:r>
          </w:p>
        </w:tc>
        <w:tc>
          <w:tcPr>
            <w:tcW w:type="dxa" w:w="1003"/>
            <w:shd w:fill="F2F2F2" w:color="auto" w:val="clear"/>
            <w:tcMar>
              <w:top w:type="dxa" w:w="90"/>
              <w:left w:type="dxa" w:w="110"/>
              <w:bottom w:type="dxa" w:w="90"/>
              <w:right w:type="dxa" w:w="110"/>
            </w:tcMar>
          </w:tcPr>
          <w:p>
            <w:r>
              <w:rPr>
                <w:b w:val="false"/>
                <w:bCs w:val="false"/>
                <w:color w:val="000000"/>
                <w:sz w:val="19"/>
                <w:szCs w:val="19"/>
              </w:rPr>
              <w:t xml:space="preserve">Moyenne</w:t>
            </w:r>
          </w:p>
        </w:tc>
        <w:tc>
          <w:tcPr>
            <w:tcW w:type="dxa" w:w="1003"/>
            <w:shd w:fill="F2F2F2" w:color="auto" w:val="clear"/>
            <w:tcMar>
              <w:top w:type="dxa" w:w="90"/>
              <w:left w:type="dxa" w:w="110"/>
              <w:bottom w:type="dxa" w:w="90"/>
              <w:right w:type="dxa" w:w="110"/>
            </w:tcMar>
          </w:tcPr>
          <w:p>
            <w:r>
              <w:rPr>
                <w:b w:val="false"/>
                <w:bCs w:val="false"/>
                <w:color w:val="000000"/>
                <w:sz w:val="19"/>
                <w:szCs w:val="19"/>
              </w:rPr>
              <w:t xml:space="preserve">Moyen</w:t>
            </w:r>
          </w:p>
        </w:tc>
        <w:tc>
          <w:tcPr>
            <w:tcW w:type="dxa" w:w="1504"/>
            <w:shd w:fill="F2F2F2" w:color="auto" w:val="clear"/>
            <w:tcMar>
              <w:top w:type="dxa" w:w="90"/>
              <w:left w:type="dxa" w:w="110"/>
              <w:bottom w:type="dxa" w:w="90"/>
              <w:right w:type="dxa" w:w="110"/>
            </w:tcMar>
          </w:tcPr>
          <w:p>
            <w:r>
              <w:rPr>
                <w:b w:val="false"/>
                <w:bCs w:val="false"/>
                <w:color w:val="000000"/>
                <w:sz w:val="19"/>
                <w:szCs w:val="19"/>
              </w:rPr>
              <w:t xml:space="preserve">Ouvert</w:t>
            </w:r>
          </w:p>
        </w:tc>
        <w:tc>
          <w:tcPr>
            <w:tcW w:type="dxa" w:w="2507"/>
            <w:shd w:fill="F2F2F2" w:color="auto" w:val="clear"/>
            <w:tcMar>
              <w:top w:type="dxa" w:w="90"/>
              <w:left w:type="dxa" w:w="110"/>
              <w:bottom w:type="dxa" w:w="90"/>
              <w:right w:type="dxa" w:w="110"/>
            </w:tcMar>
          </w:tcPr>
          <w:p>
            <w:r>
              <w:rPr>
                <w:b w:val="false"/>
                <w:bCs w:val="false"/>
                <w:color w:val="000000"/>
                <w:sz w:val="19"/>
                <w:szCs w:val="19"/>
              </w:rPr>
              <w:t xml:space="preserve">Documentation d'architecture et de déploiement tenues à jour pour permettre une reprise</w:t>
            </w:r>
          </w:p>
        </w:tc>
      </w:tr>
      <w:tr>
        <w:tc>
          <w:tcPr>
            <w:tcW w:type="dxa" w:w="501"/>
            <w:shd w:fill="FFFFFF" w:color="auto" w:val="clear"/>
            <w:tcMar>
              <w:top w:type="dxa" w:w="90"/>
              <w:left w:type="dxa" w:w="110"/>
              <w:bottom w:type="dxa" w:w="90"/>
              <w:right w:type="dxa" w:w="110"/>
            </w:tcMar>
          </w:tcPr>
          <w:p>
            <w:r>
              <w:rPr>
                <w:b/>
                <w:bCs/>
                <w:color w:val="000000"/>
                <w:sz w:val="19"/>
                <w:szCs w:val="19"/>
              </w:rPr>
              <w:t xml:space="preserve">R9</w:t>
            </w:r>
          </w:p>
        </w:tc>
        <w:tc>
          <w:tcPr>
            <w:tcW w:type="dxa" w:w="2507"/>
            <w:shd w:fill="FFFFFF" w:color="auto" w:val="clear"/>
            <w:tcMar>
              <w:top w:type="dxa" w:w="90"/>
              <w:left w:type="dxa" w:w="110"/>
              <w:bottom w:type="dxa" w:w="90"/>
              <w:right w:type="dxa" w:w="110"/>
            </w:tcMar>
          </w:tcPr>
          <w:p>
            <w:r>
              <w:rPr>
                <w:b w:val="false"/>
                <w:bCs w:val="false"/>
                <w:color w:val="000000"/>
                <w:sz w:val="19"/>
                <w:szCs w:val="19"/>
              </w:rPr>
              <w:t xml:space="preserve">Jeu de 20 questions de référence non encore validé officiellement par la tutrice (critère d'acceptation du Module 1, échéance 23/09/2026, fin S6)</w:t>
            </w:r>
          </w:p>
        </w:tc>
        <w:tc>
          <w:tcPr>
            <w:tcW w:type="dxa" w:w="1003"/>
            <w:shd w:fill="FFFFFF" w:color="auto" w:val="clear"/>
            <w:tcMar>
              <w:top w:type="dxa" w:w="90"/>
              <w:left w:type="dxa" w:w="110"/>
              <w:bottom w:type="dxa" w:w="90"/>
              <w:right w:type="dxa" w:w="110"/>
            </w:tcMar>
          </w:tcPr>
          <w:p>
            <w:r>
              <w:rPr>
                <w:b w:val="false"/>
                <w:bCs w:val="false"/>
                <w:color w:val="000000"/>
                <w:sz w:val="19"/>
                <w:szCs w:val="19"/>
              </w:rPr>
              <w:t xml:space="preserve">Faible</w:t>
            </w:r>
          </w:p>
        </w:tc>
        <w:tc>
          <w:tcPr>
            <w:tcW w:type="dxa" w:w="1003"/>
            <w:shd w:fill="FFFFFF" w:color="auto" w:val="clear"/>
            <w:tcMar>
              <w:top w:type="dxa" w:w="90"/>
              <w:left w:type="dxa" w:w="110"/>
              <w:bottom w:type="dxa" w:w="90"/>
              <w:right w:type="dxa" w:w="110"/>
            </w:tcMar>
          </w:tcPr>
          <w:p>
            <w:r>
              <w:rPr>
                <w:b w:val="false"/>
                <w:bCs w:val="false"/>
                <w:color w:val="000000"/>
                <w:sz w:val="19"/>
                <w:szCs w:val="19"/>
              </w:rPr>
              <w:t xml:space="preserve">Moyen</w:t>
            </w:r>
          </w:p>
        </w:tc>
        <w:tc>
          <w:tcPr>
            <w:tcW w:type="dxa" w:w="1504"/>
            <w:shd w:fill="FFFFFF" w:color="auto" w:val="clear"/>
            <w:tcMar>
              <w:top w:type="dxa" w:w="90"/>
              <w:left w:type="dxa" w:w="110"/>
              <w:bottom w:type="dxa" w:w="90"/>
              <w:right w:type="dxa" w:w="110"/>
            </w:tcMar>
          </w:tcPr>
          <w:p>
            <w:r>
              <w:rPr>
                <w:b w:val="false"/>
                <w:bCs w:val="false"/>
                <w:color w:val="000000"/>
                <w:sz w:val="19"/>
                <w:szCs w:val="19"/>
              </w:rPr>
              <w:t xml:space="preserve">En cours de mitigation</w:t>
            </w:r>
          </w:p>
        </w:tc>
        <w:tc>
          <w:tcPr>
            <w:tcW w:type="dxa" w:w="2507"/>
            <w:shd w:fill="FFFFFF" w:color="auto" w:val="clear"/>
            <w:tcMar>
              <w:top w:type="dxa" w:w="90"/>
              <w:left w:type="dxa" w:w="110"/>
              <w:bottom w:type="dxa" w:w="90"/>
              <w:right w:type="dxa" w:w="110"/>
            </w:tcMar>
          </w:tcPr>
          <w:p>
            <w:r>
              <w:rPr>
                <w:b w:val="false"/>
                <w:bCs w:val="false"/>
                <w:color w:val="000000"/>
                <w:sz w:val="19"/>
                <w:szCs w:val="19"/>
              </w:rPr>
              <w:t xml:space="preserve">20/20 conformes en test réel au 24/08 ; faire valider formellement en réunion, largement avant l'échéance</w:t>
            </w:r>
          </w:p>
        </w:tc>
      </w:tr>
      <w:tr>
        <w:tc>
          <w:tcPr>
            <w:tcW w:type="dxa" w:w="501"/>
            <w:shd w:fill="F2F2F2" w:color="auto" w:val="clear"/>
            <w:tcMar>
              <w:top w:type="dxa" w:w="90"/>
              <w:left w:type="dxa" w:w="110"/>
              <w:bottom w:type="dxa" w:w="90"/>
              <w:right w:type="dxa" w:w="110"/>
            </w:tcMar>
          </w:tcPr>
          <w:p>
            <w:r>
              <w:rPr>
                <w:b/>
                <w:bCs/>
                <w:color w:val="000000"/>
                <w:sz w:val="19"/>
                <w:szCs w:val="19"/>
              </w:rPr>
              <w:t xml:space="preserve">R10</w:t>
            </w:r>
          </w:p>
        </w:tc>
        <w:tc>
          <w:tcPr>
            <w:tcW w:type="dxa" w:w="2507"/>
            <w:shd w:fill="F2F2F2" w:color="auto" w:val="clear"/>
            <w:tcMar>
              <w:top w:type="dxa" w:w="90"/>
              <w:left w:type="dxa" w:w="110"/>
              <w:bottom w:type="dxa" w:w="90"/>
              <w:right w:type="dxa" w:w="110"/>
            </w:tcMar>
          </w:tcPr>
          <w:p>
            <w:r>
              <w:rPr>
                <w:b w:val="false"/>
                <w:bCs w:val="false"/>
                <w:color w:val="000000"/>
                <w:sz w:val="19"/>
                <w:szCs w:val="19"/>
              </w:rPr>
              <w:t xml:space="preserve">Aucun test de déploiement par un tiers sur machine vierge à ce jour</w:t>
            </w:r>
          </w:p>
        </w:tc>
        <w:tc>
          <w:tcPr>
            <w:tcW w:type="dxa" w:w="1003"/>
            <w:shd w:fill="F2F2F2" w:color="auto" w:val="clear"/>
            <w:tcMar>
              <w:top w:type="dxa" w:w="90"/>
              <w:left w:type="dxa" w:w="110"/>
              <w:bottom w:type="dxa" w:w="90"/>
              <w:right w:type="dxa" w:w="110"/>
            </w:tcMar>
          </w:tcPr>
          <w:p>
            <w:r>
              <w:rPr>
                <w:b w:val="false"/>
                <w:bCs w:val="false"/>
                <w:color w:val="000000"/>
                <w:sz w:val="19"/>
                <w:szCs w:val="19"/>
              </w:rPr>
              <w:t xml:space="preserve">Moyenne</w:t>
            </w:r>
          </w:p>
        </w:tc>
        <w:tc>
          <w:tcPr>
            <w:tcW w:type="dxa" w:w="1003"/>
            <w:shd w:fill="F2F2F2" w:color="auto" w:val="clear"/>
            <w:tcMar>
              <w:top w:type="dxa" w:w="90"/>
              <w:left w:type="dxa" w:w="110"/>
              <w:bottom w:type="dxa" w:w="90"/>
              <w:right w:type="dxa" w:w="110"/>
            </w:tcMar>
          </w:tcPr>
          <w:p>
            <w:r>
              <w:rPr>
                <w:b w:val="false"/>
                <w:bCs w:val="false"/>
                <w:color w:val="000000"/>
                <w:sz w:val="19"/>
                <w:szCs w:val="19"/>
              </w:rPr>
              <w:t xml:space="preserve">Moyen</w:t>
            </w:r>
          </w:p>
        </w:tc>
        <w:tc>
          <w:tcPr>
            <w:tcW w:type="dxa" w:w="1504"/>
            <w:shd w:fill="F2F2F2" w:color="auto" w:val="clear"/>
            <w:tcMar>
              <w:top w:type="dxa" w:w="90"/>
              <w:left w:type="dxa" w:w="110"/>
              <w:bottom w:type="dxa" w:w="90"/>
              <w:right w:type="dxa" w:w="110"/>
            </w:tcMar>
          </w:tcPr>
          <w:p>
            <w:r>
              <w:rPr>
                <w:b w:val="false"/>
                <w:bCs w:val="false"/>
                <w:color w:val="000000"/>
                <w:sz w:val="19"/>
                <w:szCs w:val="19"/>
              </w:rPr>
              <w:t xml:space="preserve">Ouvert</w:t>
            </w:r>
          </w:p>
        </w:tc>
        <w:tc>
          <w:tcPr>
            <w:tcW w:type="dxa" w:w="2507"/>
            <w:shd w:fill="F2F2F2" w:color="auto" w:val="clear"/>
            <w:tcMar>
              <w:top w:type="dxa" w:w="90"/>
              <w:left w:type="dxa" w:w="110"/>
              <w:bottom w:type="dxa" w:w="90"/>
              <w:right w:type="dxa" w:w="110"/>
            </w:tcMar>
          </w:tcPr>
          <w:p>
            <w:r>
              <w:rPr>
                <w:b w:val="false"/>
                <w:bCs w:val="false"/>
                <w:color w:val="000000"/>
                <w:sz w:val="19"/>
                <w:szCs w:val="19"/>
              </w:rPr>
              <w:t xml:space="preserve">Planifier ce test avant le 07/10/2026 (fin S8) ; documentation de déploiement disponible en support</w:t>
            </w:r>
          </w:p>
        </w:tc>
      </w:tr>
      <w:tr>
        <w:tc>
          <w:tcPr>
            <w:tcW w:type="dxa" w:w="501"/>
            <w:shd w:fill="FFFFFF" w:color="auto" w:val="clear"/>
            <w:tcMar>
              <w:top w:type="dxa" w:w="90"/>
              <w:left w:type="dxa" w:w="110"/>
              <w:bottom w:type="dxa" w:w="90"/>
              <w:right w:type="dxa" w:w="110"/>
            </w:tcMar>
          </w:tcPr>
          <w:p>
            <w:r>
              <w:rPr>
                <w:b/>
                <w:bCs/>
                <w:color w:val="000000"/>
                <w:sz w:val="19"/>
                <w:szCs w:val="19"/>
              </w:rPr>
              <w:t xml:space="preserve">R11</w:t>
            </w:r>
          </w:p>
        </w:tc>
        <w:tc>
          <w:tcPr>
            <w:tcW w:type="dxa" w:w="2507"/>
            <w:shd w:fill="FFFFFF" w:color="auto" w:val="clear"/>
            <w:tcMar>
              <w:top w:type="dxa" w:w="90"/>
              <w:left w:type="dxa" w:w="110"/>
              <w:bottom w:type="dxa" w:w="90"/>
              <w:right w:type="dxa" w:w="110"/>
            </w:tcMar>
          </w:tcPr>
          <w:p>
            <w:r>
              <w:rPr>
                <w:b w:val="false"/>
                <w:bCs w:val="false"/>
                <w:color w:val="000000"/>
                <w:sz w:val="19"/>
                <w:szCs w:val="19"/>
              </w:rPr>
              <w:t xml:space="preserve">Dépendance à des services tiers externes non ST Digital pour des fonctions clés (api.qrserver.com pour la génération de QR)</w:t>
            </w:r>
          </w:p>
        </w:tc>
        <w:tc>
          <w:tcPr>
            <w:tcW w:type="dxa" w:w="1003"/>
            <w:shd w:fill="FFFFFF" w:color="auto" w:val="clear"/>
            <w:tcMar>
              <w:top w:type="dxa" w:w="90"/>
              <w:left w:type="dxa" w:w="110"/>
              <w:bottom w:type="dxa" w:w="90"/>
              <w:right w:type="dxa" w:w="110"/>
            </w:tcMar>
          </w:tcPr>
          <w:p>
            <w:r>
              <w:rPr>
                <w:b w:val="false"/>
                <w:bCs w:val="false"/>
                <w:color w:val="000000"/>
                <w:sz w:val="19"/>
                <w:szCs w:val="19"/>
              </w:rPr>
              <w:t xml:space="preserve">Faible</w:t>
            </w:r>
          </w:p>
        </w:tc>
        <w:tc>
          <w:tcPr>
            <w:tcW w:type="dxa" w:w="1003"/>
            <w:shd w:fill="FFFFFF" w:color="auto" w:val="clear"/>
            <w:tcMar>
              <w:top w:type="dxa" w:w="90"/>
              <w:left w:type="dxa" w:w="110"/>
              <w:bottom w:type="dxa" w:w="90"/>
              <w:right w:type="dxa" w:w="110"/>
            </w:tcMar>
          </w:tcPr>
          <w:p>
            <w:r>
              <w:rPr>
                <w:b w:val="false"/>
                <w:bCs w:val="false"/>
                <w:color w:val="000000"/>
                <w:sz w:val="19"/>
                <w:szCs w:val="19"/>
              </w:rPr>
              <w:t xml:space="preserve">Faible</w:t>
            </w:r>
          </w:p>
        </w:tc>
        <w:tc>
          <w:tcPr>
            <w:tcW w:type="dxa" w:w="1504"/>
            <w:shd w:fill="FFFFFF" w:color="auto" w:val="clear"/>
            <w:tcMar>
              <w:top w:type="dxa" w:w="90"/>
              <w:left w:type="dxa" w:w="110"/>
              <w:bottom w:type="dxa" w:w="90"/>
              <w:right w:type="dxa" w:w="110"/>
            </w:tcMar>
          </w:tcPr>
          <w:p>
            <w:r>
              <w:rPr>
                <w:b w:val="false"/>
                <w:bCs w:val="false"/>
                <w:color w:val="000000"/>
                <w:sz w:val="19"/>
                <w:szCs w:val="19"/>
              </w:rPr>
              <w:t xml:space="preserve">Ouvert</w:t>
            </w:r>
          </w:p>
        </w:tc>
        <w:tc>
          <w:tcPr>
            <w:tcW w:type="dxa" w:w="2507"/>
            <w:shd w:fill="FFFFFF" w:color="auto" w:val="clear"/>
            <w:tcMar>
              <w:top w:type="dxa" w:w="90"/>
              <w:left w:type="dxa" w:w="110"/>
              <w:bottom w:type="dxa" w:w="90"/>
              <w:right w:type="dxa" w:w="110"/>
            </w:tcMar>
          </w:tcPr>
          <w:p>
            <w:r>
              <w:rPr>
                <w:b w:val="false"/>
                <w:bCs w:val="false"/>
                <w:color w:val="000000"/>
                <w:sz w:val="19"/>
                <w:szCs w:val="19"/>
              </w:rPr>
              <w:t xml:space="preserve">Documenter la dépendance ; évaluer une génération interne si le volume ou la confidentialité l'exigent</w:t>
            </w:r>
          </w:p>
        </w:tc>
      </w:tr>
      <w:tr>
        <w:tc>
          <w:tcPr>
            <w:tcW w:type="dxa" w:w="501"/>
            <w:shd w:fill="F2F2F2" w:color="auto" w:val="clear"/>
            <w:tcMar>
              <w:top w:type="dxa" w:w="90"/>
              <w:left w:type="dxa" w:w="110"/>
              <w:bottom w:type="dxa" w:w="90"/>
              <w:right w:type="dxa" w:w="110"/>
            </w:tcMar>
          </w:tcPr>
          <w:p>
            <w:r>
              <w:rPr>
                <w:b/>
                <w:bCs/>
                <w:color w:val="000000"/>
                <w:sz w:val="19"/>
                <w:szCs w:val="19"/>
              </w:rPr>
              <w:t xml:space="preserve">R12</w:t>
            </w:r>
          </w:p>
        </w:tc>
        <w:tc>
          <w:tcPr>
            <w:tcW w:type="dxa" w:w="2507"/>
            <w:shd w:fill="F2F2F2" w:color="auto" w:val="clear"/>
            <w:tcMar>
              <w:top w:type="dxa" w:w="90"/>
              <w:left w:type="dxa" w:w="110"/>
              <w:bottom w:type="dxa" w:w="90"/>
              <w:right w:type="dxa" w:w="110"/>
            </w:tcMar>
          </w:tcPr>
          <w:p>
            <w:r>
              <w:rPr>
                <w:b w:val="false"/>
                <w:bCs w:val="false"/>
                <w:color w:val="000000"/>
                <w:sz w:val="19"/>
                <w:szCs w:val="19"/>
              </w:rPr>
              <w:t xml:space="preserve">Base de connaissances vectorielle du chat Isaac stockée en mémoire (RAM), perdue à chaque redémarrage du conteneur n8n auto-hébergé : le chat répond alors sans grounding tant que le workflow d'indexation n'est pas relancé manuellement.</w:t>
            </w:r>
          </w:p>
        </w:tc>
        <w:tc>
          <w:tcPr>
            <w:tcW w:type="dxa" w:w="1003"/>
            <w:shd w:fill="F2F2F2" w:color="auto" w:val="clear"/>
            <w:tcMar>
              <w:top w:type="dxa" w:w="90"/>
              <w:left w:type="dxa" w:w="110"/>
              <w:bottom w:type="dxa" w:w="90"/>
              <w:right w:type="dxa" w:w="110"/>
            </w:tcMar>
          </w:tcPr>
          <w:p>
            <w:r>
              <w:rPr>
                <w:b w:val="false"/>
                <w:bCs w:val="false"/>
                <w:color w:val="000000"/>
                <w:sz w:val="19"/>
                <w:szCs w:val="19"/>
              </w:rPr>
              <w:t xml:space="preserve">Moyenne</w:t>
            </w:r>
          </w:p>
        </w:tc>
        <w:tc>
          <w:tcPr>
            <w:tcW w:type="dxa" w:w="1003"/>
            <w:shd w:fill="F2F2F2" w:color="auto" w:val="clear"/>
            <w:tcMar>
              <w:top w:type="dxa" w:w="90"/>
              <w:left w:type="dxa" w:w="110"/>
              <w:bottom w:type="dxa" w:w="90"/>
              <w:right w:type="dxa" w:w="110"/>
            </w:tcMar>
          </w:tcPr>
          <w:p>
            <w:r>
              <w:rPr>
                <w:b w:val="false"/>
                <w:bCs w:val="false"/>
                <w:color w:val="000000"/>
                <w:sz w:val="19"/>
                <w:szCs w:val="19"/>
              </w:rPr>
              <w:t xml:space="preserve">Moyen</w:t>
            </w:r>
          </w:p>
        </w:tc>
        <w:tc>
          <w:tcPr>
            <w:tcW w:type="dxa" w:w="1504"/>
            <w:shd w:fill="F2F2F2" w:color="auto" w:val="clear"/>
            <w:tcMar>
              <w:top w:type="dxa" w:w="90"/>
              <w:left w:type="dxa" w:w="110"/>
              <w:bottom w:type="dxa" w:w="90"/>
              <w:right w:type="dxa" w:w="110"/>
            </w:tcMar>
          </w:tcPr>
          <w:p>
            <w:r>
              <w:rPr>
                <w:b w:val="false"/>
                <w:bCs w:val="false"/>
                <w:color w:val="000000"/>
                <w:sz w:val="19"/>
                <w:szCs w:val="19"/>
              </w:rPr>
              <w:t xml:space="preserve">Partiellement mitigé (08/09/2026)</w:t>
            </w:r>
          </w:p>
        </w:tc>
        <w:tc>
          <w:tcPr>
            <w:tcW w:type="dxa" w:w="2507"/>
            <w:shd w:fill="F2F2F2" w:color="auto" w:val="clear"/>
            <w:tcMar>
              <w:top w:type="dxa" w:w="90"/>
              <w:left w:type="dxa" w:w="110"/>
              <w:bottom w:type="dxa" w:w="90"/>
              <w:right w:type="dxa" w:w="110"/>
            </w:tcMar>
          </w:tcPr>
          <w:p>
            <w:r>
              <w:rPr>
                <w:b w:val="false"/>
                <w:bCs w:val="false"/>
                <w:color w:val="000000"/>
                <w:sz w:val="19"/>
                <w:szCs w:val="19"/>
              </w:rPr>
              <w:t xml:space="preserve">Mise à jour 08/09/2026 : les données générales de l'application (rendez-vous, équipe, notifications, comptes admin) ont été migrées vers PostgreSQL (voir R2, désormais résolu pour cette partie). La base vectorielle utilisée pour la recherche documentaire (RAG) reste néanmoins en mémoire et n'a pas encore été migrée vers pgvector : elle doit toujours être ré-indexée manuellement après chaque redémarrage du conteneur. Migration vers Postgres/pgvector à planifier pour clore complètement ce risque.</w:t>
            </w:r>
          </w:p>
        </w:tc>
      </w:tr>
      <w:tr>
        <w:tc>
          <w:tcPr>
            <w:tcW w:type="dxa" w:w="501"/>
            <w:shd w:fill="F2F2F2" w:color="auto" w:val="clear"/>
            <w:tcMar>
              <w:top w:type="dxa" w:w="90"/>
              <w:left w:type="dxa" w:w="110"/>
              <w:bottom w:type="dxa" w:w="90"/>
              <w:right w:type="dxa" w:w="110"/>
            </w:tcMar>
          </w:tcPr>
          <w:p>
            <w:r>
              <w:rPr>
                <w:b/>
                <w:bCs/>
                <w:color w:val="000000"/>
                <w:sz w:val="19"/>
                <w:szCs w:val="19"/>
              </w:rPr>
              <w:t xml:space="preserve">R13</w:t>
            </w:r>
          </w:p>
        </w:tc>
        <w:tc>
          <w:tcPr>
            <w:tcW w:type="dxa" w:w="2507"/>
            <w:shd w:fill="F2F2F2" w:color="auto" w:val="clear"/>
            <w:tcMar>
              <w:top w:type="dxa" w:w="90"/>
              <w:left w:type="dxa" w:w="110"/>
              <w:bottom w:type="dxa" w:w="90"/>
              <w:right w:type="dxa" w:w="110"/>
            </w:tcMar>
          </w:tcPr>
          <w:p>
            <w:r>
              <w:rPr>
                <w:b w:val="false"/>
                <w:bCs w:val="false"/>
                <w:color w:val="000000"/>
                <w:sz w:val="19"/>
                <w:szCs w:val="19"/>
              </w:rPr>
              <w:t xml:space="preserve">Fiabilité factuelle du modèle IA local non garantie de façon continue : un comparatif ponctuel (01/09/2026) a montré qu'un modèle candidat (Mistral 7B) hallucine des informations factuelles malgré un contexte correct et une température à 0 ; rien ne garantit que le modèle retenu (Qwen2.5 7B) ne le fasse jamais sur d'autres questions non testées.</w:t>
            </w:r>
          </w:p>
        </w:tc>
        <w:tc>
          <w:tcPr>
            <w:tcW w:type="dxa" w:w="1003"/>
            <w:shd w:fill="F2F2F2" w:color="auto" w:val="clear"/>
            <w:tcMar>
              <w:top w:type="dxa" w:w="90"/>
              <w:left w:type="dxa" w:w="110"/>
              <w:bottom w:type="dxa" w:w="90"/>
              <w:right w:type="dxa" w:w="110"/>
            </w:tcMar>
          </w:tcPr>
          <w:p>
            <w:r>
              <w:rPr>
                <w:b w:val="false"/>
                <w:bCs w:val="false"/>
                <w:color w:val="000000"/>
                <w:sz w:val="19"/>
                <w:szCs w:val="19"/>
              </w:rPr>
              <w:t xml:space="preserve">Moyenne</w:t>
            </w:r>
          </w:p>
        </w:tc>
        <w:tc>
          <w:tcPr>
            <w:tcW w:type="dxa" w:w="1003"/>
            <w:shd w:fill="F2F2F2" w:color="auto" w:val="clear"/>
            <w:tcMar>
              <w:top w:type="dxa" w:w="90"/>
              <w:left w:type="dxa" w:w="110"/>
              <w:bottom w:type="dxa" w:w="90"/>
              <w:right w:type="dxa" w:w="110"/>
            </w:tcMar>
          </w:tcPr>
          <w:p>
            <w:r>
              <w:rPr>
                <w:b w:val="false"/>
                <w:bCs w:val="false"/>
                <w:color w:val="000000"/>
                <w:sz w:val="19"/>
                <w:szCs w:val="19"/>
              </w:rPr>
              <w:t xml:space="preserve">Élevé</w:t>
            </w:r>
          </w:p>
        </w:tc>
        <w:tc>
          <w:tcPr>
            <w:tcW w:type="dxa" w:w="1504"/>
            <w:shd w:fill="F2F2F2" w:color="auto" w:val="clear"/>
            <w:tcMar>
              <w:top w:type="dxa" w:w="90"/>
              <w:left w:type="dxa" w:w="110"/>
              <w:bottom w:type="dxa" w:w="90"/>
              <w:right w:type="dxa" w:w="110"/>
            </w:tcMar>
          </w:tcPr>
          <w:p>
            <w:r>
              <w:rPr>
                <w:b w:val="false"/>
                <w:bCs w:val="false"/>
                <w:color w:val="000000"/>
                <w:sz w:val="19"/>
                <w:szCs w:val="19"/>
              </w:rPr>
              <w:t xml:space="preserve">Ouvert</w:t>
            </w:r>
          </w:p>
        </w:tc>
        <w:tc>
          <w:tcPr>
            <w:tcW w:type="dxa" w:w="2507"/>
            <w:shd w:fill="F2F2F2" w:color="auto" w:val="clear"/>
            <w:tcMar>
              <w:top w:type="dxa" w:w="90"/>
              <w:left w:type="dxa" w:w="110"/>
              <w:bottom w:type="dxa" w:w="90"/>
              <w:right w:type="dxa" w:w="110"/>
            </w:tcMar>
          </w:tcPr>
          <w:p>
            <w:r>
              <w:rPr>
                <w:b w:val="false"/>
                <w:bCs w:val="false"/>
                <w:color w:val="000000"/>
                <w:sz w:val="19"/>
                <w:szCs w:val="19"/>
              </w:rPr>
              <w:t xml:space="preserve">Étendre le jeu de 20 questions de référence (voir R9) pour couvrir aussi la vérification factuelle des réponses du chat IA, pas seulement leur pertinence ; envisager un contrôle humain périodique des réponses réelles données aux visiteurs.</w:t>
            </w:r>
          </w:p>
        </w:tc>
      </w:tr>
      <w:tr>
        <w:tc>
          <w:tcPr>
            <w:tcW w:type="dxa" w:w="501"/>
            <w:shd w:fill="F2F2F2" w:color="auto" w:val="clear"/>
            <w:tcMar>
              <w:top w:type="dxa" w:w="90"/>
              <w:left w:type="dxa" w:w="110"/>
              <w:bottom w:type="dxa" w:w="90"/>
              <w:right w:type="dxa" w:w="110"/>
            </w:tcMar>
          </w:tcPr>
          <w:p>
            <w:r>
              <w:rPr>
                <w:b/>
                <w:bCs/>
                <w:color w:val="000000"/>
                <w:sz w:val="19"/>
                <w:szCs w:val="19"/>
              </w:rPr>
              <w:t xml:space="preserve">R14</w:t>
            </w:r>
          </w:p>
        </w:tc>
        <w:tc>
          <w:tcPr>
            <w:tcW w:type="dxa" w:w="2507"/>
            <w:shd w:fill="F2F2F2" w:color="auto" w:val="clear"/>
            <w:tcMar>
              <w:top w:type="dxa" w:w="90"/>
              <w:left w:type="dxa" w:w="110"/>
              <w:bottom w:type="dxa" w:w="90"/>
              <w:right w:type="dxa" w:w="110"/>
            </w:tcMar>
          </w:tcPr>
          <w:p>
            <w:r>
              <w:rPr>
                <w:b w:val="false"/>
                <w:bCs w:val="false"/>
                <w:color w:val="000000"/>
                <w:sz w:val="19"/>
                <w:szCs w:val="19"/>
              </w:rPr>
              <w:t xml:space="preserve">Realise puis resolu le 04/09/2026 : le RAG d'Isaac etait silencieusement casse depuis la mise en place du self-hebergement (01/09) - un noeud n8n obsolete stockait les insertions et les recherches sous des cles differentes, sans erreur visible. Le modele repondait de facon plausible mais jamais ancree dans la base de connaissances valide, y compris lors de la validation «20/20 questions» citee dans la note de cadrage.</w:t>
            </w:r>
          </w:p>
        </w:tc>
        <w:tc>
          <w:tcPr>
            <w:tcW w:type="dxa" w:w="1003"/>
            <w:shd w:fill="F2F2F2" w:color="auto" w:val="clear"/>
            <w:tcMar>
              <w:top w:type="dxa" w:w="90"/>
              <w:left w:type="dxa" w:w="110"/>
              <w:bottom w:type="dxa" w:w="90"/>
              <w:right w:type="dxa" w:w="110"/>
            </w:tcMar>
          </w:tcPr>
          <w:p>
            <w:r>
              <w:rPr>
                <w:b w:val="false"/>
                <w:bCs w:val="false"/>
                <w:color w:val="000000"/>
                <w:sz w:val="19"/>
                <w:szCs w:val="19"/>
              </w:rPr>
              <w:t xml:space="preserve">Realise (etait Elevee)</w:t>
            </w:r>
          </w:p>
        </w:tc>
        <w:tc>
          <w:tcPr>
            <w:tcW w:type="dxa" w:w="1003"/>
            <w:shd w:fill="F2F2F2" w:color="auto" w:val="clear"/>
            <w:tcMar>
              <w:top w:type="dxa" w:w="90"/>
              <w:left w:type="dxa" w:w="110"/>
              <w:bottom w:type="dxa" w:w="90"/>
              <w:right w:type="dxa" w:w="110"/>
            </w:tcMar>
          </w:tcPr>
          <w:p>
            <w:r>
              <w:rPr>
                <w:b w:val="false"/>
                <w:bCs w:val="false"/>
                <w:color w:val="000000"/>
                <w:sz w:val="19"/>
                <w:szCs w:val="19"/>
              </w:rPr>
              <w:t xml:space="preserve">Eleve</w:t>
            </w:r>
          </w:p>
        </w:tc>
        <w:tc>
          <w:tcPr>
            <w:tcW w:type="dxa" w:w="1504"/>
            <w:shd w:fill="F2F2F2" w:color="auto" w:val="clear"/>
            <w:tcMar>
              <w:top w:type="dxa" w:w="90"/>
              <w:left w:type="dxa" w:w="110"/>
              <w:bottom w:type="dxa" w:w="90"/>
              <w:right w:type="dxa" w:w="110"/>
            </w:tcMar>
          </w:tcPr>
          <w:p>
            <w:r>
              <w:rPr>
                <w:b w:val="false"/>
                <w:bCs w:val="false"/>
                <w:color w:val="000000"/>
                <w:sz w:val="19"/>
                <w:szCs w:val="19"/>
              </w:rPr>
              <w:t xml:space="preserve">Resolu 04/09/2026</w:t>
            </w:r>
          </w:p>
        </w:tc>
        <w:tc>
          <w:tcPr>
            <w:tcW w:type="dxa" w:w="2507"/>
            <w:shd w:fill="F2F2F2" w:color="auto" w:val="clear"/>
            <w:tcMar>
              <w:top w:type="dxa" w:w="90"/>
              <w:left w:type="dxa" w:w="110"/>
              <w:bottom w:type="dxa" w:w="90"/>
              <w:right w:type="dxa" w:w="110"/>
            </w:tcMar>
          </w:tcPr>
          <w:p>
            <w:r>
              <w:rPr>
                <w:b w:val="false"/>
                <w:bCs w:val="false"/>
                <w:color w:val="000000"/>
                <w:sz w:val="19"/>
                <w:szCs w:val="19"/>
              </w:rPr>
              <w:t xml:space="preserve">Corrige (remplacement du noeud d'insertion obsolete par le noeud unifie n8n). Lecon retenue : verifier le contexte reellement transmis au modele (pas seulement la reponse) lors de toute validation RAG. Le jeu des 20 questions doit etre rejoue sur la version corrigee avant toute nouvelle validation.</w:t>
            </w:r>
          </w:p>
        </w:tc>
      </w:tr>
      <w:tr>
        <w:tc>
          <w:tcPr>
            <w:tcW w:type="dxa" w:w="501"/>
            <w:shd w:fill="F2F2F2" w:color="auto" w:val="clear"/>
            <w:tcMar>
              <w:top w:type="dxa" w:w="90"/>
              <w:left w:type="dxa" w:w="110"/>
              <w:bottom w:type="dxa" w:w="90"/>
              <w:right w:type="dxa" w:w="110"/>
            </w:tcMar>
          </w:tcPr>
          <w:p>
            <w:r>
              <w:rPr>
                <w:b/>
                <w:bCs/>
                <w:color w:val="000000"/>
                <w:sz w:val="19"/>
                <w:szCs w:val="19"/>
              </w:rPr>
              <w:t xml:space="preserve">R15</w:t>
            </w:r>
          </w:p>
        </w:tc>
        <w:tc>
          <w:tcPr>
            <w:tcW w:type="dxa" w:w="2507"/>
            <w:shd w:fill="F2F2F2" w:color="auto" w:val="clear"/>
            <w:tcMar>
              <w:top w:type="dxa" w:w="90"/>
              <w:left w:type="dxa" w:w="110"/>
              <w:bottom w:type="dxa" w:w="90"/>
              <w:right w:type="dxa" w:w="110"/>
            </w:tcMar>
          </w:tcPr>
          <w:p>
            <w:r>
              <w:rPr>
                <w:b w:val="false"/>
                <w:bCs w:val="false"/>
                <w:color w:val="000000"/>
                <w:sz w:val="19"/>
                <w:szCs w:val="19"/>
              </w:rPr>
              <w:t xml:space="preserve">Deuxieme dependance Microsoft bloquee : l'authentification SMTP classique est desactivee au niveau du tenant Microsoft 365 de ST Digital («SmtpClientAuthentication is disabled», teste le 04/09/2026), en plus des identifiants Azure AD/Graph API deja bloques depuis le 24/08. Aucune notification par email Outlook/Teams reelle n'est donc possible en l'etat.</w:t>
            </w:r>
          </w:p>
        </w:tc>
        <w:tc>
          <w:tcPr>
            <w:tcW w:type="dxa" w:w="1003"/>
            <w:shd w:fill="F2F2F2" w:color="auto" w:val="clear"/>
            <w:tcMar>
              <w:top w:type="dxa" w:w="90"/>
              <w:left w:type="dxa" w:w="110"/>
              <w:bottom w:type="dxa" w:w="90"/>
              <w:right w:type="dxa" w:w="110"/>
            </w:tcMar>
          </w:tcPr>
          <w:p>
            <w:r>
              <w:rPr>
                <w:b w:val="false"/>
                <w:bCs w:val="false"/>
                <w:color w:val="000000"/>
                <w:sz w:val="19"/>
                <w:szCs w:val="19"/>
              </w:rPr>
              <w:t xml:space="preserve">Realisee</w:t>
            </w:r>
          </w:p>
        </w:tc>
        <w:tc>
          <w:tcPr>
            <w:tcW w:type="dxa" w:w="1003"/>
            <w:shd w:fill="F2F2F2" w:color="auto" w:val="clear"/>
            <w:tcMar>
              <w:top w:type="dxa" w:w="90"/>
              <w:left w:type="dxa" w:w="110"/>
              <w:bottom w:type="dxa" w:w="90"/>
              <w:right w:type="dxa" w:w="110"/>
            </w:tcMar>
          </w:tcPr>
          <w:p>
            <w:r>
              <w:rPr>
                <w:b w:val="false"/>
                <w:bCs w:val="false"/>
                <w:color w:val="000000"/>
                <w:sz w:val="19"/>
                <w:szCs w:val="19"/>
              </w:rPr>
              <w:t xml:space="preserve">Moyen</w:t>
            </w:r>
          </w:p>
        </w:tc>
        <w:tc>
          <w:tcPr>
            <w:tcW w:type="dxa" w:w="1504"/>
            <w:shd w:fill="F2F2F2" w:color="auto" w:val="clear"/>
            <w:tcMar>
              <w:top w:type="dxa" w:w="90"/>
              <w:left w:type="dxa" w:w="110"/>
              <w:bottom w:type="dxa" w:w="90"/>
              <w:right w:type="dxa" w:w="110"/>
            </w:tcMar>
          </w:tcPr>
          <w:p>
            <w:r>
              <w:rPr>
                <w:b w:val="false"/>
                <w:bCs w:val="false"/>
                <w:color w:val="000000"/>
                <w:sz w:val="19"/>
                <w:szCs w:val="19"/>
              </w:rPr>
              <w:t xml:space="preserve">Mitige (contournement) 04/09/2026</w:t>
            </w:r>
          </w:p>
        </w:tc>
        <w:tc>
          <w:tcPr>
            <w:tcW w:type="dxa" w:w="2507"/>
            <w:shd w:fill="F2F2F2" w:color="auto" w:val="clear"/>
            <w:tcMar>
              <w:top w:type="dxa" w:w="90"/>
              <w:left w:type="dxa" w:w="110"/>
              <w:bottom w:type="dxa" w:w="90"/>
              <w:right w:type="dxa" w:w="110"/>
            </w:tcMar>
          </w:tcPr>
          <w:p>
            <w:r>
              <w:rPr>
                <w:b w:val="false"/>
                <w:bCs w:val="false"/>
                <w:color w:val="000000"/>
                <w:sz w:val="19"/>
                <w:szCs w:val="19"/>
              </w:rPr>
              <w:t xml:space="preserve">Contournement temporaire : envoi via SMTP Gmail personnel (mot de passe d'application) pour demontrer le critere d'acceptation M0. A remplacer par un vrai canal ST Digital (Outlook via activation SMTP AUTH sur la boite par l'IT, ou Graph API) avant toute mise en production.</w:t>
            </w:r>
          </w:p>
        </w:tc>
      </w:tr>
      <w:tr>
        <w:tc>
          <w:tcPr>
            <w:tcW w:type="dxa" w:w="501"/>
            <w:shd w:fill="F2F2F2" w:color="auto" w:val="clear"/>
            <w:tcMar>
              <w:top w:type="dxa" w:w="90"/>
              <w:left w:type="dxa" w:w="110"/>
              <w:bottom w:type="dxa" w:w="90"/>
              <w:right w:type="dxa" w:w="110"/>
            </w:tcMar>
          </w:tcPr>
          <w:p>
            <w:r>
              <w:rPr>
                <w:b/>
                <w:bCs/>
                <w:color w:val="000000"/>
                <w:sz w:val="19"/>
                <w:szCs w:val="19"/>
              </w:rPr>
              <w:t xml:space="preserve">R16</w:t>
            </w:r>
          </w:p>
        </w:tc>
        <w:tc>
          <w:tcPr>
            <w:tcW w:type="dxa" w:w="2507"/>
            <w:shd w:fill="F2F2F2" w:color="auto" w:val="clear"/>
            <w:tcMar>
              <w:top w:type="dxa" w:w="90"/>
              <w:left w:type="dxa" w:w="110"/>
              <w:bottom w:type="dxa" w:w="90"/>
              <w:right w:type="dxa" w:w="110"/>
            </w:tcMar>
          </w:tcPr>
          <w:p>
            <w:r>
              <w:rPr>
                <w:b w:val="false"/>
                <w:bCs w:val="false"/>
                <w:color w:val="000000"/>
                <w:sz w:val="19"/>
                <w:szCs w:val="19"/>
              </w:rPr>
              <w:t xml:space="preserve">Erreur de bus ATA sur le disque du serveur de production ayant entraîné un passage automatique du système de fichiers en lecture seule (protection noyau) puis une perte totale de connexion réseau au serveur. Diagnostic complet via les journaux noyau (journalctl -k) : cause identifiée comme un problème de connectique/réseau plutôt qu'une panne disque définitive. Résolu par vérification physique et redémarrage du serveur ; aucune perte de données constatée.</w:t>
            </w:r>
          </w:p>
        </w:tc>
        <w:tc>
          <w:tcPr>
            <w:tcW w:type="dxa" w:w="1003"/>
            <w:shd w:fill="F2F2F2" w:color="auto" w:val="clear"/>
            <w:tcMar>
              <w:top w:type="dxa" w:w="90"/>
              <w:left w:type="dxa" w:w="110"/>
              <w:bottom w:type="dxa" w:w="90"/>
              <w:right w:type="dxa" w:w="110"/>
            </w:tcMar>
          </w:tcPr>
          <w:p>
            <w:r>
              <w:rPr>
                <w:b w:val="false"/>
                <w:bCs w:val="false"/>
                <w:color w:val="000000"/>
                <w:sz w:val="19"/>
                <w:szCs w:val="19"/>
              </w:rPr>
              <w:t xml:space="preserve">Faible</w:t>
            </w:r>
          </w:p>
        </w:tc>
        <w:tc>
          <w:tcPr>
            <w:tcW w:type="dxa" w:w="1003"/>
            <w:shd w:fill="F2F2F2" w:color="auto" w:val="clear"/>
            <w:tcMar>
              <w:top w:type="dxa" w:w="90"/>
              <w:left w:type="dxa" w:w="110"/>
              <w:bottom w:type="dxa" w:w="90"/>
              <w:right w:type="dxa" w:w="110"/>
            </w:tcMar>
          </w:tcPr>
          <w:p>
            <w:r>
              <w:rPr>
                <w:b w:val="false"/>
                <w:bCs w:val="false"/>
                <w:color w:val="000000"/>
                <w:sz w:val="19"/>
                <w:szCs w:val="19"/>
              </w:rPr>
              <w:t xml:space="preserve">Élevé</w:t>
            </w:r>
          </w:p>
        </w:tc>
        <w:tc>
          <w:tcPr>
            <w:tcW w:type="dxa" w:w="1504"/>
            <w:shd w:fill="F2F2F2" w:color="auto" w:val="clear"/>
            <w:tcMar>
              <w:top w:type="dxa" w:w="90"/>
              <w:left w:type="dxa" w:w="110"/>
              <w:bottom w:type="dxa" w:w="90"/>
              <w:right w:type="dxa" w:w="110"/>
            </w:tcMar>
          </w:tcPr>
          <w:p>
            <w:r>
              <w:rPr>
                <w:b w:val="false"/>
                <w:bCs w:val="false"/>
                <w:color w:val="000000"/>
                <w:sz w:val="19"/>
                <w:szCs w:val="19"/>
              </w:rPr>
              <w:t xml:space="preserve">Résolu</w:t>
            </w:r>
          </w:p>
        </w:tc>
        <w:tc>
          <w:tcPr>
            <w:tcW w:type="dxa" w:w="2507"/>
            <w:shd w:fill="F2F2F2" w:color="auto" w:val="clear"/>
            <w:tcMar>
              <w:top w:type="dxa" w:w="90"/>
              <w:left w:type="dxa" w:w="110"/>
              <w:bottom w:type="dxa" w:w="90"/>
              <w:right w:type="dxa" w:w="110"/>
            </w:tcMar>
          </w:tcPr>
          <w:p>
            <w:r>
              <w:rPr>
                <w:b w:val="false"/>
                <w:bCs w:val="false"/>
                <w:color w:val="000000"/>
                <w:sz w:val="19"/>
                <w:szCs w:val="19"/>
              </w:rPr>
              <w:t xml:space="preserve">A directement motivé la migration de la persistance vers PostgreSQL (voir R2 — persistance en fichiers JSON) afin de réduire le risque de corruption de données en cas de récidive.</w:t>
            </w:r>
          </w:p>
        </w:tc>
      </w:tr>
      <w:tr>
        <w:tc>
          <w:tcPr>
            <w:tcW w:type="dxa" w:w="501"/>
            <w:shd w:fill="F2F2F2" w:color="auto" w:val="clear"/>
            <w:tcMar>
              <w:top w:type="dxa" w:w="90"/>
              <w:left w:type="dxa" w:w="110"/>
              <w:bottom w:type="dxa" w:w="90"/>
              <w:right w:type="dxa" w:w="110"/>
            </w:tcMar>
          </w:tcPr>
          <w:p>
            <w:r>
              <w:rPr>
                <w:b/>
                <w:bCs/>
                <w:color w:val="000000"/>
                <w:sz w:val="19"/>
                <w:szCs w:val="19"/>
              </w:rPr>
              <w:t xml:space="preserve">R17</w:t>
            </w:r>
          </w:p>
        </w:tc>
        <w:tc>
          <w:tcPr>
            <w:tcW w:type="dxa" w:w="2507"/>
            <w:shd w:fill="F2F2F2" w:color="auto" w:val="clear"/>
            <w:tcMar>
              <w:top w:type="dxa" w:w="90"/>
              <w:left w:type="dxa" w:w="110"/>
              <w:bottom w:type="dxa" w:w="90"/>
              <w:right w:type="dxa" w:w="110"/>
            </w:tcMar>
          </w:tcPr>
          <w:p>
            <w:r>
              <w:rPr>
                <w:b w:val="false"/>
                <w:bCs w:val="false"/>
                <w:color w:val="000000"/>
                <w:sz w:val="19"/>
                <w:szCs w:val="19"/>
              </w:rPr>
              <w:t xml:space="preserve">Le back-office administrateur est actuellement exposé publiquement sur internet (via Tailscale Funnel) pour faciliter les tests, alors que l'authentification actuelle repose sur un simple mot de passe partagé par pays, sans limitation de tentatives ni verrouillage de compte. Décision assumée explicitement par l'équipe pour la durée de l'expérimentation.</w:t>
            </w:r>
          </w:p>
        </w:tc>
        <w:tc>
          <w:tcPr>
            <w:tcW w:type="dxa" w:w="1003"/>
            <w:shd w:fill="F2F2F2" w:color="auto" w:val="clear"/>
            <w:tcMar>
              <w:top w:type="dxa" w:w="90"/>
              <w:left w:type="dxa" w:w="110"/>
              <w:bottom w:type="dxa" w:w="90"/>
              <w:right w:type="dxa" w:w="110"/>
            </w:tcMar>
          </w:tcPr>
          <w:p>
            <w:r>
              <w:rPr>
                <w:b w:val="false"/>
                <w:bCs w:val="false"/>
                <w:color w:val="000000"/>
                <w:sz w:val="19"/>
                <w:szCs w:val="19"/>
              </w:rPr>
              <w:t xml:space="preserve">Moyenne</w:t>
            </w:r>
          </w:p>
        </w:tc>
        <w:tc>
          <w:tcPr>
            <w:tcW w:type="dxa" w:w="1003"/>
            <w:shd w:fill="F2F2F2" w:color="auto" w:val="clear"/>
            <w:tcMar>
              <w:top w:type="dxa" w:w="90"/>
              <w:left w:type="dxa" w:w="110"/>
              <w:bottom w:type="dxa" w:w="90"/>
              <w:right w:type="dxa" w:w="110"/>
            </w:tcMar>
          </w:tcPr>
          <w:p>
            <w:r>
              <w:rPr>
                <w:b w:val="false"/>
                <w:bCs w:val="false"/>
                <w:color w:val="000000"/>
                <w:sz w:val="19"/>
                <w:szCs w:val="19"/>
              </w:rPr>
              <w:t xml:space="preserve">Élevé</w:t>
            </w:r>
          </w:p>
        </w:tc>
        <w:tc>
          <w:tcPr>
            <w:tcW w:type="dxa" w:w="1504"/>
            <w:shd w:fill="F2F2F2" w:color="auto" w:val="clear"/>
            <w:tcMar>
              <w:top w:type="dxa" w:w="90"/>
              <w:left w:type="dxa" w:w="110"/>
              <w:bottom w:type="dxa" w:w="90"/>
              <w:right w:type="dxa" w:w="110"/>
            </w:tcMar>
          </w:tcPr>
          <w:p>
            <w:r>
              <w:rPr>
                <w:b w:val="false"/>
                <w:bCs w:val="false"/>
                <w:color w:val="000000"/>
                <w:sz w:val="19"/>
                <w:szCs w:val="19"/>
              </w:rPr>
              <w:t xml:space="preserve">Ouvert — accepté temporairement pour la phase d'expérimentation</w:t>
            </w:r>
          </w:p>
        </w:tc>
        <w:tc>
          <w:tcPr>
            <w:tcW w:type="dxa" w:w="2507"/>
            <w:shd w:fill="F2F2F2" w:color="auto" w:val="clear"/>
            <w:tcMar>
              <w:top w:type="dxa" w:w="90"/>
              <w:left w:type="dxa" w:w="110"/>
              <w:bottom w:type="dxa" w:w="90"/>
              <w:right w:type="dxa" w:w="110"/>
            </w:tcMar>
          </w:tcPr>
          <w:p>
            <w:r>
              <w:rPr>
                <w:b w:val="false"/>
                <w:bCs w:val="false"/>
                <w:color w:val="000000"/>
                <w:sz w:val="19"/>
                <w:szCs w:val="19"/>
              </w:rPr>
              <w:t xml:space="preserve">Renforcement de l'authentification requis avant toute mise en production réelle (limitation des tentatives, verrouillage de compte, éventuellement authentification à deux facteurs) ou, à défaut, ré-isolement du back-office derrière le réseau privé Tailscale uniquement.</w:t>
            </w:r>
          </w:p>
        </w:tc>
      </w:tr>
    </w:tbl>
    <w:p>
      <w:pPr>
        <w:pStyle w:val="Heading1"/>
        <w:spacing w:after="180" w:before="380"/>
      </w:pPr>
      <w:r>
        <w:rPr>
          <w:b/>
          <w:bCs/>
          <w:color w:val="1F3864"/>
          <w:sz w:val="26"/>
          <w:szCs w:val="26"/>
        </w:rPr>
        <w:t xml:space="preserve">Risques à surveiller (hors périmètre code, mais impactant le projet)</w:t>
      </w:r>
    </w:p>
    <w:p>
      <w:pPr>
        <w:spacing w:after="150"/>
      </w:pPr>
      <w:r>
        <w:rPr>
          <w:sz w:val="21"/>
          <w:szCs w:val="21"/>
        </w:rPr>
        <w:t xml:space="preserve">Absence à ce jour de note de cadrage validée, de dossier d'architecture technique validé, de note RGPD validée et de documentation de déploiement testée par un tiers — livrables en cours de production (voir les autres documents de ce lot).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2026-08-27T08:18:58.396Z</dcterms:created>
  <dcterms:modified xsi:type="dcterms:W3CDTF">2026-08-27T08:18:58.399Z</dcterms:modified>
</cp:coreProperties>
</file>

<file path=docProps/custom.xml><?xml version="1.0" encoding="utf-8"?>
<Properties xmlns="http://schemas.openxmlformats.org/officeDocument/2006/custom-properties" xmlns:vt="http://schemas.openxmlformats.org/officeDocument/2006/docPropsVTypes"/>
</file>