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7BC7B" w14:textId="3B45DB40" w:rsidR="00EC3196" w:rsidRDefault="00F87494" w:rsidP="00E13E7A">
      <w:pPr>
        <w:spacing w:line="360" w:lineRule="auto"/>
        <w:rPr>
          <w:rFonts w:ascii="Times New Roman" w:hAnsi="Times New Roman" w:cs="Times New Roman"/>
          <w:b/>
          <w:bCs/>
        </w:rPr>
      </w:pPr>
      <w:r w:rsidRPr="00F87494">
        <w:rPr>
          <w:rFonts w:ascii="Times New Roman" w:hAnsi="Times New Roman" w:cs="Times New Roman"/>
          <w:b/>
          <w:bCs/>
        </w:rPr>
        <w:t xml:space="preserve">Variable </w:t>
      </w:r>
      <w:r w:rsidR="00D13837">
        <w:rPr>
          <w:rFonts w:ascii="Times New Roman" w:hAnsi="Times New Roman" w:cs="Times New Roman"/>
          <w:b/>
          <w:bCs/>
        </w:rPr>
        <w:t>Dictionaries</w:t>
      </w:r>
    </w:p>
    <w:p w14:paraId="74000889" w14:textId="73C8B345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Households: Number of households </w:t>
      </w:r>
      <w:proofErr w:type="gramStart"/>
      <w:r>
        <w:rPr>
          <w:rFonts w:ascii="Times New Roman" w:hAnsi="Times New Roman" w:cs="Times New Roman"/>
        </w:rPr>
        <w:t>in a given</w:t>
      </w:r>
      <w:proofErr w:type="gramEnd"/>
      <w:r>
        <w:rPr>
          <w:rFonts w:ascii="Times New Roman" w:hAnsi="Times New Roman" w:cs="Times New Roman"/>
        </w:rPr>
        <w:t xml:space="preserve"> quintile, province and time cell.</w:t>
      </w:r>
    </w:p>
    <w:p w14:paraId="0965A3C5" w14:textId="0BE33D2B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gas_exp: Gasoline expenditure (</w:t>
      </w:r>
      <w:r w:rsidR="00C85FA6">
        <w:rPr>
          <w:rFonts w:ascii="Times New Roman" w:hAnsi="Times New Roman" w:cs="Times New Roman"/>
        </w:rPr>
        <w:t>“</w:t>
      </w:r>
      <w:r w:rsidR="00C85FA6" w:rsidRPr="00C85FA6">
        <w:rPr>
          <w:rFonts w:ascii="Times New Roman" w:hAnsi="Times New Roman" w:cs="Times New Roman"/>
        </w:rPr>
        <w:t>Gas and other fuels (all vehicles and tools)</w:t>
      </w:r>
      <w:r w:rsidR="00C85FA6">
        <w:rPr>
          <w:rFonts w:ascii="Times New Roman" w:hAnsi="Times New Roman" w:cs="Times New Roman"/>
        </w:rPr>
        <w:t>”</w:t>
      </w:r>
      <w:r w:rsidR="00C85FA6" w:rsidRPr="00C85FA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from 11100223)</w:t>
      </w:r>
    </w:p>
    <w:p w14:paraId="7B4DE161" w14:textId="3597DAE3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ng_exp: Natural gas expenditure (</w:t>
      </w:r>
      <w:r w:rsidR="00412A8D">
        <w:rPr>
          <w:rFonts w:ascii="Times New Roman" w:hAnsi="Times New Roman" w:cs="Times New Roman"/>
        </w:rPr>
        <w:t>“</w:t>
      </w:r>
      <w:r w:rsidR="00412A8D" w:rsidRPr="00412A8D">
        <w:rPr>
          <w:rFonts w:ascii="Times New Roman" w:hAnsi="Times New Roman" w:cs="Times New Roman"/>
        </w:rPr>
        <w:t>Natural gas for principal accommodation</w:t>
      </w:r>
      <w:r w:rsidR="00412A8D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from 11100223)</w:t>
      </w:r>
    </w:p>
    <w:p w14:paraId="2B7BB20A" w14:textId="342BC090" w:rsidR="00F87494" w:rsidRDefault="00AD5152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oil_exp: </w:t>
      </w:r>
      <w:r w:rsidR="00B640B2">
        <w:rPr>
          <w:rFonts w:ascii="Times New Roman" w:hAnsi="Times New Roman" w:cs="Times New Roman"/>
        </w:rPr>
        <w:t>Other fuel expenditure (</w:t>
      </w:r>
      <w:r w:rsidR="00C85FA6">
        <w:rPr>
          <w:rFonts w:ascii="Times New Roman" w:hAnsi="Times New Roman" w:cs="Times New Roman"/>
        </w:rPr>
        <w:t>“</w:t>
      </w:r>
      <w:r w:rsidR="004257DF" w:rsidRPr="004257DF">
        <w:rPr>
          <w:rFonts w:ascii="Times New Roman" w:hAnsi="Times New Roman" w:cs="Times New Roman"/>
        </w:rPr>
        <w:t>Other fuel for principal accommodation</w:t>
      </w:r>
      <w:r w:rsidR="00C85FA6">
        <w:rPr>
          <w:rFonts w:ascii="Times New Roman" w:hAnsi="Times New Roman" w:cs="Times New Roman"/>
        </w:rPr>
        <w:t>”</w:t>
      </w:r>
      <w:r w:rsidR="004257DF">
        <w:rPr>
          <w:rFonts w:ascii="Times New Roman" w:hAnsi="Times New Roman" w:cs="Times New Roman"/>
        </w:rPr>
        <w:t xml:space="preserve"> from 11100223</w:t>
      </w:r>
      <w:r w:rsidR="00B640B2">
        <w:rPr>
          <w:rFonts w:ascii="Times New Roman" w:hAnsi="Times New Roman" w:cs="Times New Roman"/>
        </w:rPr>
        <w:t>)</w:t>
      </w:r>
    </w:p>
    <w:p w14:paraId="4484A5ED" w14:textId="2A0B9857" w:rsidR="00412A8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total_exp: Total expenditure (“Total expenditure” from 11100223)</w:t>
      </w:r>
    </w:p>
    <w:p w14:paraId="442825FE" w14:textId="5C9F598D" w:rsidR="003371D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gasoline_price: </w:t>
      </w:r>
      <w:r w:rsidR="003C0CFA">
        <w:rPr>
          <w:rFonts w:ascii="Times New Roman" w:hAnsi="Times New Roman" w:cs="Times New Roman"/>
        </w:rPr>
        <w:t xml:space="preserve">Yearly average </w:t>
      </w:r>
      <w:r w:rsidR="00B96772">
        <w:rPr>
          <w:rFonts w:ascii="Times New Roman" w:hAnsi="Times New Roman" w:cs="Times New Roman"/>
        </w:rPr>
        <w:t>price of gasoline (“</w:t>
      </w:r>
      <w:r w:rsidR="00B96772" w:rsidRPr="00B96772">
        <w:rPr>
          <w:rFonts w:ascii="Times New Roman" w:hAnsi="Times New Roman" w:cs="Times New Roman"/>
        </w:rPr>
        <w:t xml:space="preserve">Regular unleaded gasoline at </w:t>
      </w:r>
      <w:proofErr w:type="spellStart"/>
      <w:r w:rsidR="00B96772" w:rsidRPr="00B96772">
        <w:rPr>
          <w:rFonts w:ascii="Times New Roman" w:hAnsi="Times New Roman" w:cs="Times New Roman"/>
        </w:rPr>
        <w:t>self service</w:t>
      </w:r>
      <w:proofErr w:type="spellEnd"/>
      <w:r w:rsidR="00B96772" w:rsidRPr="00B96772">
        <w:rPr>
          <w:rFonts w:ascii="Times New Roman" w:hAnsi="Times New Roman" w:cs="Times New Roman"/>
        </w:rPr>
        <w:t xml:space="preserve"> filling stations</w:t>
      </w:r>
      <w:r w:rsidR="00B96772">
        <w:rPr>
          <w:rFonts w:ascii="Times New Roman" w:hAnsi="Times New Roman" w:cs="Times New Roman"/>
        </w:rPr>
        <w:t xml:space="preserve">” from </w:t>
      </w:r>
      <w:r w:rsidR="00220EA0">
        <w:rPr>
          <w:rFonts w:ascii="Times New Roman" w:hAnsi="Times New Roman" w:cs="Times New Roman"/>
        </w:rPr>
        <w:t xml:space="preserve">18100001, </w:t>
      </w:r>
      <w:r w:rsidR="00220EA0" w:rsidRPr="00220EA0">
        <w:rPr>
          <w:rFonts w:ascii="Times New Roman" w:hAnsi="Times New Roman" w:cs="Times New Roman"/>
        </w:rPr>
        <w:t>Monthly values are averaged across cities within each province</w:t>
      </w:r>
      <w:r w:rsidR="00B96772">
        <w:rPr>
          <w:rFonts w:ascii="Times New Roman" w:hAnsi="Times New Roman" w:cs="Times New Roman"/>
        </w:rPr>
        <w:t>)</w:t>
      </w:r>
    </w:p>
    <w:p w14:paraId="7E0B7927" w14:textId="7832734D" w:rsidR="00220EA0" w:rsidRDefault="0055439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heating_oil_price: Yearly average price of household heating oil</w:t>
      </w:r>
      <w:r w:rsidR="00CC49C4">
        <w:rPr>
          <w:rFonts w:ascii="Times New Roman" w:hAnsi="Times New Roman" w:cs="Times New Roman"/>
        </w:rPr>
        <w:t xml:space="preserve"> (“</w:t>
      </w:r>
      <w:r w:rsidR="00CC49C4" w:rsidRPr="00CC49C4">
        <w:rPr>
          <w:rFonts w:ascii="Times New Roman" w:hAnsi="Times New Roman" w:cs="Times New Roman"/>
        </w:rPr>
        <w:t>Household heating fuel</w:t>
      </w:r>
      <w:r w:rsidR="00CC49C4">
        <w:rPr>
          <w:rFonts w:ascii="Times New Roman" w:hAnsi="Times New Roman" w:cs="Times New Roman"/>
        </w:rPr>
        <w:t xml:space="preserve">” from 18100001, </w:t>
      </w:r>
      <w:r w:rsidR="00CC49C4" w:rsidRPr="00220EA0">
        <w:rPr>
          <w:rFonts w:ascii="Times New Roman" w:hAnsi="Times New Roman" w:cs="Times New Roman"/>
        </w:rPr>
        <w:t>Monthly values are averaged across cities within each province</w:t>
      </w:r>
      <w:r w:rsidR="00CC49C4">
        <w:rPr>
          <w:rFonts w:ascii="Times New Roman" w:hAnsi="Times New Roman" w:cs="Times New Roman"/>
        </w:rPr>
        <w:t>)</w:t>
      </w:r>
    </w:p>
    <w:p w14:paraId="4A9D17E4" w14:textId="075ED733" w:rsidR="00CC49C4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Gasoline: </w:t>
      </w:r>
      <w:r w:rsidR="00AB2D4F">
        <w:rPr>
          <w:rFonts w:ascii="Times New Roman" w:hAnsi="Times New Roman" w:cs="Times New Roman"/>
        </w:rPr>
        <w:t xml:space="preserve">Tax rate of gasoline (CAD/liter, from </w:t>
      </w:r>
      <w:hyperlink r:id="rId5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</w:t>
        </w:r>
        <w:r w:rsidR="00AB2D4F" w:rsidRPr="00795AF1">
          <w:rPr>
            <w:rStyle w:val="Hyperlink"/>
            <w:rFonts w:ascii="Times New Roman" w:hAnsi="Times New Roman" w:cs="Times New Roman"/>
          </w:rPr>
          <w:t>)</w:t>
        </w:r>
      </w:hyperlink>
    </w:p>
    <w:p w14:paraId="7992BFDE" w14:textId="36A92CED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Light fuel oil: </w:t>
      </w:r>
      <w:r w:rsidR="00795AF1">
        <w:rPr>
          <w:rFonts w:ascii="Times New Roman" w:hAnsi="Times New Roman" w:cs="Times New Roman"/>
        </w:rPr>
        <w:t xml:space="preserve">Tax rate of light fuel oil (CAD/liter, from </w:t>
      </w:r>
      <w:hyperlink r:id="rId6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</w:p>
    <w:p w14:paraId="07970F22" w14:textId="7E92B79E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Marketable natural gas: </w:t>
      </w:r>
      <w:r w:rsidR="00795AF1">
        <w:rPr>
          <w:rFonts w:ascii="Times New Roman" w:hAnsi="Times New Roman" w:cs="Times New Roman"/>
        </w:rPr>
        <w:t>Tax rate of marketable natural gas (</w:t>
      </w:r>
      <w:r w:rsidR="00795AF1" w:rsidRPr="00795AF1">
        <w:rPr>
          <w:rFonts w:ascii="Times New Roman" w:hAnsi="Times New Roman" w:cs="Times New Roman"/>
        </w:rPr>
        <w:t>CAD/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="00795AF1" w:rsidRPr="00795AF1">
        <w:rPr>
          <w:rFonts w:ascii="Times New Roman" w:hAnsi="Times New Roman" w:cs="Times New Roman"/>
        </w:rPr>
        <w:t>,</w:t>
      </w:r>
      <w:r w:rsidR="00795AF1">
        <w:rPr>
          <w:rFonts w:ascii="Times New Roman" w:hAnsi="Times New Roman" w:cs="Times New Roman"/>
        </w:rPr>
        <w:t xml:space="preserve"> from </w:t>
      </w:r>
      <w:hyperlink r:id="rId7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  <w:r w:rsidR="00795AF1">
        <w:rPr>
          <w:rFonts w:ascii="Times New Roman" w:hAnsi="Times New Roman" w:cs="Times New Roman"/>
        </w:rPr>
        <w:t>)</w:t>
      </w:r>
    </w:p>
    <w:p w14:paraId="3CA4F3BB" w14:textId="5BB99424" w:rsidR="00795AF1" w:rsidRDefault="00795AF1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ng_rate_per_GJ: </w:t>
      </w:r>
      <w:r w:rsidR="0022730F">
        <w:rPr>
          <w:rFonts w:ascii="Times New Roman" w:hAnsi="Times New Roman" w:cs="Times New Roman"/>
        </w:rPr>
        <w:t>Tax rate for natural gas in CAD/GJ</w:t>
      </w:r>
    </w:p>
    <w:p w14:paraId="1D98597C" w14:textId="0DC82CC3" w:rsidR="0022730F" w:rsidRPr="0022730F" w:rsidRDefault="0022730F" w:rsidP="00E13E7A">
      <w:pPr>
        <w:pStyle w:val="ListParagraph"/>
        <w:spacing w:line="360" w:lineRule="auto"/>
        <w:rPr>
          <w:rFonts w:ascii="Times New Roman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(ng_rate_per_GJ)=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Marketable natural gas</m:t>
              </m:r>
            </m:e>
          </m:d>
          <m:r>
            <w:rPr>
              <w:rFonts w:ascii="Cambria Math" w:hAnsi="Cambria Math" w:cs="Times New Roman"/>
            </w:rPr>
            <m:t>×26.853</m:t>
          </m:r>
        </m:oMath>
      </m:oMathPara>
    </w:p>
    <w:p w14:paraId="278FC58C" w14:textId="78A0BAE1" w:rsidR="00DC0A13" w:rsidRDefault="00380F4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DC0A13">
        <w:rPr>
          <w:rFonts w:ascii="Times New Roman" w:hAnsi="Times New Roman" w:cs="Times New Roman"/>
          <w:iCs/>
        </w:rPr>
        <w:t>direct_tax:</w:t>
      </w:r>
      <w:r w:rsidR="00E13E7A">
        <w:rPr>
          <w:rFonts w:ascii="Times New Roman" w:hAnsi="Times New Roman" w:cs="Times New Roman"/>
          <w:iCs/>
        </w:rPr>
        <w:t xml:space="preserve"> Direct gross carbon tax paid on all consumption of energy (not including general equilibrium effect of carbon tax on the price of all other goods)</w:t>
      </w:r>
      <w:r w:rsidR="001701E8">
        <w:rPr>
          <w:rFonts w:ascii="Times New Roman" w:hAnsi="Times New Roman" w:cs="Times New Roman"/>
          <w:iCs/>
        </w:rPr>
        <w:t>.</w:t>
      </w:r>
    </w:p>
    <w:p w14:paraId="02312D86" w14:textId="3F753580" w:rsidR="00E13E7A" w:rsidRPr="00E13E7A" w:rsidRDefault="00000000" w:rsidP="00E13E7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rq</m:t>
              </m:r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gas_exp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rq</m:t>
                  </m:r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gasoline_price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Oil Litres</m:t>
                  </m:r>
                </m:e>
              </m:d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oil_exp</m:t>
                      </m:r>
                    </m:e>
                  </m:d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pqt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heating_oil_price</m:t>
                      </m:r>
                    </m:e>
                  </m:d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ng_exp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GJ_PER_DOLLAR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oil_litres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LightFuelOilRate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ng_rate_per_GJ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direct_tax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qt</m:t>
              </m:r>
            </m:sub>
          </m:sSub>
        </m:oMath>
      </m:oMathPara>
    </w:p>
    <w:p w14:paraId="36D5359D" w14:textId="3131EFD7" w:rsidR="00E13E7A" w:rsidRDefault="00E13E7A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lastRenderedPageBreak/>
        <w:t xml:space="preserve">gross_cost: </w:t>
      </w:r>
      <w:r w:rsidR="001C6292">
        <w:rPr>
          <w:rFonts w:ascii="Times New Roman" w:hAnsi="Times New Roman" w:cs="Times New Roman"/>
          <w:iCs/>
        </w:rPr>
        <w:t xml:space="preserve">Direct cost + Indirect cost (calibrated by </w:t>
      </w:r>
      <w:r w:rsidR="009F1FB0">
        <w:rPr>
          <w:rFonts w:ascii="Times New Roman" w:hAnsi="Times New Roman" w:cs="Times New Roman"/>
          <w:iCs/>
        </w:rPr>
        <w:t>Canada Dept of Finance estimates</w:t>
      </w:r>
      <w:r w:rsidR="001C6292">
        <w:rPr>
          <w:rFonts w:ascii="Times New Roman" w:hAnsi="Times New Roman" w:cs="Times New Roman"/>
          <w:iCs/>
        </w:rPr>
        <w:t>)</w:t>
      </w:r>
    </w:p>
    <w:p w14:paraId="5772F38C" w14:textId="2EA6EF40" w:rsidR="000D513C" w:rsidRDefault="000D513C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CCR_single_base</w:t>
      </w:r>
      <w:proofErr w:type="spellEnd"/>
      <w:r>
        <w:rPr>
          <w:rFonts w:ascii="Times New Roman" w:hAnsi="Times New Roman" w:cs="Times New Roman"/>
          <w:iCs/>
        </w:rPr>
        <w:t>: Annual CCR/CAI amount for single adult</w:t>
      </w:r>
      <w:r w:rsidR="00A34E84">
        <w:rPr>
          <w:rFonts w:ascii="Times New Roman" w:hAnsi="Times New Roman" w:cs="Times New Roman"/>
          <w:iCs/>
        </w:rPr>
        <w:t xml:space="preserve"> non-rural</w:t>
      </w:r>
      <w:r>
        <w:rPr>
          <w:rFonts w:ascii="Times New Roman" w:hAnsi="Times New Roman" w:cs="Times New Roman"/>
          <w:iCs/>
        </w:rPr>
        <w:t xml:space="preserve"> </w:t>
      </w:r>
      <w:r w:rsidR="00A34E84">
        <w:rPr>
          <w:rFonts w:ascii="Times New Roman" w:hAnsi="Times New Roman" w:cs="Times New Roman"/>
          <w:iCs/>
        </w:rPr>
        <w:t>household.</w:t>
      </w:r>
      <w:r w:rsidR="00581B62">
        <w:rPr>
          <w:rFonts w:ascii="Times New Roman" w:hAnsi="Times New Roman" w:cs="Times New Roman"/>
          <w:iCs/>
        </w:rPr>
        <w:t xml:space="preserve"> </w:t>
      </w:r>
    </w:p>
    <w:p w14:paraId="29FBCEFB" w14:textId="6B41A6F3" w:rsidR="000D513C" w:rsidRPr="00E13E7A" w:rsidRDefault="000D513C" w:rsidP="00A34E8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CCR_couple_base</w:t>
      </w:r>
      <w:proofErr w:type="spellEnd"/>
      <w:r>
        <w:rPr>
          <w:rFonts w:ascii="Times New Roman" w:hAnsi="Times New Roman" w:cs="Times New Roman"/>
          <w:iCs/>
        </w:rPr>
        <w:t xml:space="preserve">: Annual CCR/CAI amount for couple </w:t>
      </w:r>
      <w:r w:rsidR="00A34E84">
        <w:rPr>
          <w:rFonts w:ascii="Times New Roman" w:hAnsi="Times New Roman" w:cs="Times New Roman"/>
          <w:iCs/>
        </w:rPr>
        <w:t xml:space="preserve">non-rural </w:t>
      </w:r>
      <w:r>
        <w:rPr>
          <w:rFonts w:ascii="Times New Roman" w:hAnsi="Times New Roman" w:cs="Times New Roman"/>
          <w:iCs/>
        </w:rPr>
        <w:t>household</w:t>
      </w:r>
      <w:r w:rsidR="00A34E84">
        <w:rPr>
          <w:rFonts w:ascii="Times New Roman" w:hAnsi="Times New Roman" w:cs="Times New Roman"/>
          <w:iCs/>
        </w:rPr>
        <w:t>.</w:t>
      </w:r>
    </w:p>
    <w:p w14:paraId="4F8BCFF9" w14:textId="1CAEE5BE" w:rsidR="00E13E7A" w:rsidRDefault="000D513C" w:rsidP="00A34E8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CCR_family4_base: Annual CCR/CAI amount for a family of four in a </w:t>
      </w:r>
      <w:r w:rsidR="00A34E84">
        <w:rPr>
          <w:rFonts w:ascii="Times New Roman" w:hAnsi="Times New Roman" w:cs="Times New Roman"/>
          <w:iCs/>
        </w:rPr>
        <w:t>non-rural household.</w:t>
      </w:r>
    </w:p>
    <w:p w14:paraId="35E1921E" w14:textId="27D5F538" w:rsidR="000D513C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CCR_[single/couple/family4]_rural: </w:t>
      </w:r>
      <w:r w:rsidR="00D13837">
        <w:rPr>
          <w:rFonts w:ascii="Times New Roman" w:hAnsi="Times New Roman" w:cs="Times New Roman"/>
          <w:iCs/>
        </w:rPr>
        <w:t>Annual</w:t>
      </w:r>
      <w:r>
        <w:rPr>
          <w:rFonts w:ascii="Times New Roman" w:hAnsi="Times New Roman" w:cs="Times New Roman"/>
          <w:iCs/>
        </w:rPr>
        <w:t xml:space="preserve"> CCR/CAI amount for single/couple/family of four household living in rural area in a given base year (which subject to 10% increment compared to non-rural households</w:t>
      </w:r>
      <w:r w:rsidR="00676100">
        <w:rPr>
          <w:rFonts w:ascii="Times New Roman" w:hAnsi="Times New Roman" w:cs="Times New Roman"/>
          <w:iCs/>
        </w:rPr>
        <w:t xml:space="preserve"> between 2019-2024; the compensation raised to 20% since Apr 2024(</w:t>
      </w:r>
      <w:hyperlink r:id="rId8" w:history="1">
        <w:r w:rsidR="00676100" w:rsidRPr="00676100">
          <w:rPr>
            <w:rStyle w:val="Hyperlink"/>
            <w:rFonts w:ascii="Times New Roman" w:hAnsi="Times New Roman" w:cs="Times New Roman"/>
            <w:iCs/>
          </w:rPr>
          <w:t>URL</w:t>
        </w:r>
      </w:hyperlink>
      <w:r w:rsidR="00676100">
        <w:rPr>
          <w:rFonts w:ascii="Times New Roman" w:hAnsi="Times New Roman" w:cs="Times New Roman"/>
          <w:iCs/>
        </w:rPr>
        <w:t>)</w:t>
      </w:r>
      <w:r>
        <w:rPr>
          <w:rFonts w:ascii="Times New Roman" w:hAnsi="Times New Roman" w:cs="Times New Roman"/>
          <w:iCs/>
        </w:rPr>
        <w:t>)</w:t>
      </w:r>
    </w:p>
    <w:p w14:paraId="7D46F96D" w14:textId="51ACF36B" w:rsidR="000D513C" w:rsidRDefault="00C54A9E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net_[</w:t>
      </w:r>
      <w:r w:rsidR="00581B62">
        <w:rPr>
          <w:rFonts w:ascii="Times New Roman" w:hAnsi="Times New Roman" w:cs="Times New Roman"/>
          <w:iCs/>
        </w:rPr>
        <w:t>single/couple/family</w:t>
      </w:r>
      <w:proofErr w:type="gramStart"/>
      <w:r w:rsidR="00581B62">
        <w:rPr>
          <w:rFonts w:ascii="Times New Roman" w:hAnsi="Times New Roman" w:cs="Times New Roman"/>
          <w:iCs/>
        </w:rPr>
        <w:t>4</w:t>
      </w:r>
      <w:r>
        <w:rPr>
          <w:rFonts w:ascii="Times New Roman" w:hAnsi="Times New Roman" w:cs="Times New Roman"/>
          <w:iCs/>
        </w:rPr>
        <w:t>]_</w:t>
      </w:r>
      <w:proofErr w:type="gramEnd"/>
      <w:r>
        <w:rPr>
          <w:rFonts w:ascii="Times New Roman" w:hAnsi="Times New Roman" w:cs="Times New Roman"/>
          <w:iCs/>
        </w:rPr>
        <w:t>[</w:t>
      </w:r>
      <w:r w:rsidR="00581B62">
        <w:rPr>
          <w:rFonts w:ascii="Times New Roman" w:hAnsi="Times New Roman" w:cs="Times New Roman"/>
          <w:iCs/>
        </w:rPr>
        <w:t>base/rural</w:t>
      </w:r>
      <w:r>
        <w:rPr>
          <w:rFonts w:ascii="Times New Roman" w:hAnsi="Times New Roman" w:cs="Times New Roman"/>
          <w:iCs/>
        </w:rPr>
        <w:t>]</w:t>
      </w:r>
      <w:r w:rsidR="00A34E84">
        <w:rPr>
          <w:rFonts w:ascii="Times New Roman" w:hAnsi="Times New Roman" w:cs="Times New Roman"/>
          <w:iCs/>
        </w:rPr>
        <w:t xml:space="preserve">: Net tax expenditure = </w:t>
      </w:r>
      <w:r w:rsidR="00692DC6">
        <w:rPr>
          <w:rFonts w:ascii="Times New Roman" w:hAnsi="Times New Roman" w:cs="Times New Roman"/>
          <w:iCs/>
        </w:rPr>
        <w:t>gross_cost – CCR_[single/couple/family</w:t>
      </w:r>
      <w:proofErr w:type="gramStart"/>
      <w:r w:rsidR="00692DC6">
        <w:rPr>
          <w:rFonts w:ascii="Times New Roman" w:hAnsi="Times New Roman" w:cs="Times New Roman"/>
          <w:iCs/>
        </w:rPr>
        <w:t>4]_</w:t>
      </w:r>
      <w:proofErr w:type="gramEnd"/>
      <w:r w:rsidR="00692DC6">
        <w:rPr>
          <w:rFonts w:ascii="Times New Roman" w:hAnsi="Times New Roman" w:cs="Times New Roman"/>
          <w:iCs/>
        </w:rPr>
        <w:t>[base/rural]</w:t>
      </w:r>
    </w:p>
    <w:p w14:paraId="5EEA942E" w14:textId="0E67D03E" w:rsidR="00692DC6" w:rsidRDefault="00F1543B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etr_direct_tax: Effective </w:t>
      </w:r>
      <w:r w:rsidR="00265D2A">
        <w:rPr>
          <w:rFonts w:ascii="Times New Roman" w:hAnsi="Times New Roman" w:cs="Times New Roman"/>
          <w:iCs/>
        </w:rPr>
        <w:t xml:space="preserve">direct </w:t>
      </w:r>
      <w:r>
        <w:rPr>
          <w:rFonts w:ascii="Times New Roman" w:hAnsi="Times New Roman" w:cs="Times New Roman"/>
          <w:iCs/>
        </w:rPr>
        <w:t>tax rate</w:t>
      </w:r>
      <w:r w:rsidR="00265D2A">
        <w:rPr>
          <w:rFonts w:ascii="Times New Roman" w:hAnsi="Times New Roman" w:cs="Times New Roman"/>
          <w:iCs/>
        </w:rPr>
        <w:t xml:space="preserve"> = direct_tax/total_exp</w:t>
      </w:r>
    </w:p>
    <w:p w14:paraId="6DA13E48" w14:textId="20B49274" w:rsidR="00D74E3E" w:rsidRPr="00D13837" w:rsidRDefault="00F1543B" w:rsidP="00D1383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etr_gross_cost</w:t>
      </w:r>
      <w:r w:rsidR="00265D2A">
        <w:rPr>
          <w:rFonts w:ascii="Times New Roman" w:hAnsi="Times New Roman" w:cs="Times New Roman"/>
          <w:iCs/>
        </w:rPr>
        <w:t xml:space="preserve">: Effective </w:t>
      </w:r>
      <w:r w:rsidR="00D74E3E">
        <w:rPr>
          <w:rFonts w:ascii="Times New Roman" w:hAnsi="Times New Roman" w:cs="Times New Roman"/>
          <w:iCs/>
        </w:rPr>
        <w:t>gross tax rate = gross_cost/total_exp</w:t>
      </w:r>
    </w:p>
    <w:p w14:paraId="5A058060" w14:textId="04F1B453" w:rsidR="000D513C" w:rsidRDefault="00B77994" w:rsidP="000D513C">
      <w:pPr>
        <w:spacing w:line="276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Canada Carbon Rebate (CCR)/ Climate Action Incentive (CAI) Payment Schedul</w:t>
      </w:r>
      <w:r w:rsidR="00565A62">
        <w:rPr>
          <w:rFonts w:ascii="Times New Roman" w:hAnsi="Times New Roman" w:cs="Times New Roman"/>
          <w:b/>
          <w:bCs/>
          <w:iCs/>
        </w:rPr>
        <w:t>e)</w:t>
      </w:r>
    </w:p>
    <w:p w14:paraId="4EACF6F4" w14:textId="1160FC20" w:rsidR="000D513C" w:rsidRDefault="000D513C" w:rsidP="000D513C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Note: CAI (2018-20), CAIP (2021-23) and CCR (2024-) are the same thing…</w:t>
      </w:r>
    </w:p>
    <w:p w14:paraId="5BB2A3F0" w14:textId="479F8B39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9" w:history="1">
        <w:r w:rsidRPr="00565A62">
          <w:rPr>
            <w:rStyle w:val="Hyperlink"/>
            <w:rFonts w:ascii="Times New Roman" w:hAnsi="Times New Roman" w:cs="Times New Roman"/>
            <w:iCs/>
          </w:rPr>
          <w:t>2019</w:t>
        </w:r>
      </w:hyperlink>
      <w:r w:rsidR="00565A62">
        <w:rPr>
          <w:rFonts w:ascii="Times New Roman" w:hAnsi="Times New Roman" w:cs="Times New Roman"/>
          <w:iCs/>
        </w:rPr>
        <w:t>: (All states; Base Year) April 2019 to April 2020</w:t>
      </w:r>
    </w:p>
    <w:p w14:paraId="61E146FC" w14:textId="6777E6CE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0" w:history="1">
        <w:r w:rsidRPr="00565A62">
          <w:rPr>
            <w:rStyle w:val="Hyperlink"/>
            <w:rFonts w:ascii="Times New Roman" w:hAnsi="Times New Roman" w:cs="Times New Roman"/>
            <w:iCs/>
          </w:rPr>
          <w:t>2020</w:t>
        </w:r>
      </w:hyperlink>
      <w:r w:rsidR="00565A62">
        <w:rPr>
          <w:rFonts w:ascii="Times New Roman" w:hAnsi="Times New Roman" w:cs="Times New Roman"/>
          <w:iCs/>
        </w:rPr>
        <w:t>: Base Year</w:t>
      </w:r>
    </w:p>
    <w:p w14:paraId="3F38DB90" w14:textId="1348AFF5" w:rsidR="00B77994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565A62">
        <w:rPr>
          <w:rFonts w:ascii="Times New Roman" w:hAnsi="Times New Roman" w:cs="Times New Roman"/>
          <w:iCs/>
        </w:rPr>
        <w:t>For Ontario, Manitoba and Saskatchewan</w:t>
      </w:r>
      <w:r>
        <w:rPr>
          <w:rFonts w:ascii="Times New Roman" w:hAnsi="Times New Roman" w:cs="Times New Roman"/>
          <w:iCs/>
        </w:rPr>
        <w:t xml:space="preserve">: </w:t>
      </w:r>
      <w:r w:rsidRPr="00565A62">
        <w:rPr>
          <w:rFonts w:ascii="Times New Roman" w:hAnsi="Times New Roman" w:cs="Times New Roman"/>
          <w:iCs/>
        </w:rPr>
        <w:t>Jan-Mar 2020 (with fuel price $20) + Apr 2020 to Apr 2021 (with fuel price $30)</w:t>
      </w:r>
    </w:p>
    <w:p w14:paraId="08EDDF3F" w14:textId="2B245129" w:rsidR="00565A62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For Alberta: April 2020 to March 2021</w:t>
      </w:r>
    </w:p>
    <w:p w14:paraId="29866D99" w14:textId="40A2D8FA" w:rsidR="00565A62" w:rsidRDefault="00565A62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1" w:history="1">
        <w:r w:rsidRPr="0027130E">
          <w:rPr>
            <w:rStyle w:val="Hyperlink"/>
            <w:rFonts w:ascii="Times New Roman" w:hAnsi="Times New Roman" w:cs="Times New Roman"/>
            <w:iCs/>
          </w:rPr>
          <w:t>2021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137EA5A4" w14:textId="3539BDD9" w:rsidR="0027130E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2" w:history="1">
        <w:r w:rsidRPr="0027130E">
          <w:rPr>
            <w:rStyle w:val="Hyperlink"/>
            <w:rFonts w:ascii="Times New Roman" w:hAnsi="Times New Roman" w:cs="Times New Roman"/>
            <w:iCs/>
          </w:rPr>
          <w:t>2022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397413F1" w14:textId="2FFC06CF" w:rsidR="00E74BFA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3" w:history="1">
        <w:r w:rsidRPr="00E74BFA">
          <w:rPr>
            <w:rStyle w:val="Hyperlink"/>
            <w:rFonts w:ascii="Times New Roman" w:hAnsi="Times New Roman" w:cs="Times New Roman"/>
            <w:iCs/>
          </w:rPr>
          <w:t>2023</w:t>
        </w:r>
      </w:hyperlink>
      <w:r w:rsidRPr="00E74BFA">
        <w:rPr>
          <w:rFonts w:ascii="Times New Roman" w:hAnsi="Times New Roman" w:cs="Times New Roman"/>
          <w:iCs/>
        </w:rPr>
        <w:t>: Base Year</w:t>
      </w:r>
    </w:p>
    <w:p w14:paraId="31E32746" w14:textId="292741D4" w:rsidR="00E74BFA" w:rsidRDefault="00E74BFA" w:rsidP="00E74BFA">
      <w:pPr>
        <w:spacing w:line="360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Calculation of GJ_PER_DOLLAR constant</w:t>
      </w:r>
    </w:p>
    <w:p w14:paraId="5EA6EBC7" w14:textId="7C9F9812" w:rsidR="00E74BFA" w:rsidRPr="00E74BFA" w:rsidRDefault="00000000" w:rsidP="00E74BFA">
      <w:pPr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ϕ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GJ</m:t>
                          </m:r>
                        </m:e>
                      </m:acc>
                    </m:e>
                  </m:d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NGEx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</m:oMath>
      </m:oMathPara>
    </w:p>
    <w:p w14:paraId="26D30C31" w14:textId="4A967357" w:rsidR="00E74BFA" w:rsidRDefault="00000000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GJ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 w:rsidR="00E74BFA">
        <w:rPr>
          <w:rFonts w:ascii="Times New Roman" w:hAnsi="Times New Roman" w:cs="Times New Roman"/>
          <w:iCs/>
        </w:rPr>
        <w:t xml:space="preserve"> Unconditional </w:t>
      </w:r>
      <w:r w:rsidR="00E74BFA" w:rsidRPr="00E74BFA">
        <w:rPr>
          <w:rFonts w:ascii="Times New Roman" w:hAnsi="Times New Roman" w:cs="Times New Roman"/>
          <w:iCs/>
        </w:rPr>
        <w:t>provincial annual natural-gas energy use per household</w:t>
      </w:r>
      <w:r w:rsidR="00E16F64">
        <w:rPr>
          <w:rFonts w:ascii="Times New Roman" w:hAnsi="Times New Roman" w:cs="Times New Roman"/>
          <w:iCs/>
        </w:rPr>
        <w:t xml:space="preserve"> (</w:t>
      </w:r>
      <w:hyperlink r:id="rId14" w:history="1">
        <w:r w:rsidR="00E16F64" w:rsidRPr="00E16F64">
          <w:rPr>
            <w:rStyle w:val="Hyperlink"/>
            <w:rFonts w:ascii="Times New Roman" w:hAnsi="Times New Roman" w:cs="Times New Roman"/>
            <w:iCs/>
          </w:rPr>
          <w:t>Data</w:t>
        </w:r>
      </w:hyperlink>
      <w:r w:rsidR="00E16F64">
        <w:rPr>
          <w:rFonts w:ascii="Times New Roman" w:hAnsi="Times New Roman" w:cs="Times New Roman"/>
          <w:iCs/>
        </w:rPr>
        <w:t>)</w:t>
      </w:r>
    </w:p>
    <w:p w14:paraId="6699617C" w14:textId="753C5ED6" w:rsidR="00E74BFA" w:rsidRPr="00E74BFA" w:rsidRDefault="00000000" w:rsidP="00E74BF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GJ</m:t>
                      </m:r>
                    </m:e>
                  </m:d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≈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⋅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GJ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NGHome</m:t>
              </m:r>
            </m:sup>
          </m:sSubSup>
        </m:oMath>
      </m:oMathPara>
    </w:p>
    <w:p w14:paraId="6A984480" w14:textId="607F0255" w:rsidR="00E74BFA" w:rsidRPr="004C2E83" w:rsidRDefault="00E74BFA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=0.805⋅109.8=88.389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355B67AA" w14:textId="28048AE0" w:rsidR="00E16F64" w:rsidRPr="004C2E83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lastRenderedPageBreak/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=0.673⋅86.7=58.35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0649510B" w14:textId="0D0FBB14" w:rsidR="00E16F64" w:rsidRPr="004C2E83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Manitoba: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=0.588⋅106=62.328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7AA6F381" w14:textId="09923A59" w:rsidR="00E16F64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16F64">
        <w:rPr>
          <w:rFonts w:ascii="Times New Roman" w:hAnsi="Times New Roman" w:cs="Times New Roman"/>
        </w:rPr>
        <w:t>Saskatchewan</w:t>
      </w:r>
      <w:r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 xml:space="preserve">=0.752⋅96.8=72.79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4EEE294B" w14:textId="4CC7C6C4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NGEx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>
        <w:rPr>
          <w:rFonts w:ascii="Times New Roman" w:hAnsi="Times New Roman" w:cs="Times New Roman"/>
        </w:rPr>
        <w:t xml:space="preserve"> A</w:t>
      </w:r>
      <w:r w:rsidRPr="00E16F64">
        <w:rPr>
          <w:rFonts w:ascii="Times New Roman" w:hAnsi="Times New Roman" w:cs="Times New Roman"/>
        </w:rPr>
        <w:t>verage annual household natural-gas expenditure</w:t>
      </w:r>
      <w:r>
        <w:rPr>
          <w:rFonts w:ascii="Times New Roman" w:hAnsi="Times New Roman" w:cs="Times New Roman"/>
        </w:rPr>
        <w:t xml:space="preserve"> </w:t>
      </w:r>
      <w:r w:rsidR="00CC20A7">
        <w:rPr>
          <w:rFonts w:ascii="Times New Roman" w:hAnsi="Times New Roman" w:cs="Times New Roman"/>
        </w:rPr>
        <w:t xml:space="preserve">in region </w:t>
      </w:r>
      <m:oMath>
        <m:r>
          <w:rPr>
            <w:rFonts w:ascii="Cambria Math" w:hAnsi="Cambria Math" w:cs="Times New Roman"/>
          </w:rPr>
          <m:t>r</m:t>
        </m:r>
      </m:oMath>
      <w:r w:rsidR="00CC20A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(averaged across all households)</w:t>
      </w:r>
    </w:p>
    <w:p w14:paraId="0B624101" w14:textId="76481E5A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Estimation of GJ_PER_DOLLAR constant</w:t>
      </w:r>
    </w:p>
    <w:p w14:paraId="5AAD7B0B" w14:textId="13DD8F6B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88.389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1029.6</m:t>
            </m:r>
          </m:den>
        </m:f>
        <m:r>
          <w:rPr>
            <w:rFonts w:ascii="Cambria Math" w:hAnsi="Cambria Math" w:cs="Times New Roman"/>
            <w:lang w:val="it-IT"/>
          </w:rPr>
          <m:t xml:space="preserve">=0.0858479021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2AE6A3D9" w14:textId="35D3B45E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58.35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810.2</m:t>
            </m:r>
          </m:den>
        </m:f>
        <m:r>
          <w:rPr>
            <w:rFonts w:ascii="Cambria Math" w:hAnsi="Cambria Math" w:cs="Times New Roman"/>
            <w:lang w:val="it-IT"/>
          </w:rPr>
          <m:t xml:space="preserve">=0.07201925451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60F9DE8F" w14:textId="15BB5258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Manitoba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62.328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449.6</m:t>
            </m:r>
          </m:den>
        </m:f>
        <m:r>
          <w:rPr>
            <w:rFonts w:ascii="Cambria Math" w:hAnsi="Cambria Math" w:cs="Times New Roman"/>
            <w:lang w:val="it-IT"/>
          </w:rPr>
          <m:t xml:space="preserve">=0.1386298932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7A2F254E" w14:textId="151CC850" w:rsidR="003E6CF1" w:rsidRDefault="003E6CF1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Saskatchewan: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72.79</m:t>
            </m:r>
          </m:num>
          <m:den>
            <m:r>
              <w:rPr>
                <w:rFonts w:ascii="Cambria Math" w:hAnsi="Cambria Math" w:cs="Times New Roman"/>
              </w:rPr>
              <m:t>828.8</m:t>
            </m:r>
          </m:den>
        </m:f>
        <m:r>
          <w:rPr>
            <w:rFonts w:ascii="Cambria Math" w:hAnsi="Cambria Math" w:cs="Times New Roman"/>
          </w:rPr>
          <m:t xml:space="preserve">=0.0878257722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0CF19523" w14:textId="1FEAAE8A" w:rsidR="005D12FE" w:rsidRDefault="005D12FE" w:rsidP="005D12F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Indirect </w:t>
      </w:r>
      <w:r w:rsidR="00EB65CF">
        <w:rPr>
          <w:rFonts w:ascii="Times New Roman" w:hAnsi="Times New Roman" w:cs="Times New Roman"/>
          <w:b/>
          <w:bCs/>
        </w:rPr>
        <w:t>Effects: Calibrating Kappa</w:t>
      </w:r>
    </w:p>
    <w:p w14:paraId="0F999671" w14:textId="08CC177F" w:rsidR="009D20B7" w:rsidRDefault="00910496" w:rsidP="00A81AC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 we don’t have the gross cost data </w:t>
      </w:r>
      <w:r w:rsidR="00263ED9">
        <w:rPr>
          <w:rFonts w:ascii="Times New Roman" w:hAnsi="Times New Roman" w:cs="Times New Roman"/>
        </w:rPr>
        <w:t xml:space="preserve">for all years (in fact we only have </w:t>
      </w:r>
      <w:hyperlink r:id="rId15" w:history="1">
        <w:r w:rsidR="00263ED9" w:rsidRPr="00B52751">
          <w:rPr>
            <w:rStyle w:val="Hyperlink"/>
            <w:rFonts w:ascii="Times New Roman" w:hAnsi="Times New Roman" w:cs="Times New Roman"/>
          </w:rPr>
          <w:t>2021</w:t>
        </w:r>
      </w:hyperlink>
      <w:r w:rsidR="00263ED9">
        <w:rPr>
          <w:rFonts w:ascii="Times New Roman" w:hAnsi="Times New Roman" w:cs="Times New Roman"/>
        </w:rPr>
        <w:t xml:space="preserve">, </w:t>
      </w:r>
      <w:hyperlink r:id="rId16" w:history="1">
        <w:r w:rsidR="00263ED9" w:rsidRPr="00B52751">
          <w:rPr>
            <w:rStyle w:val="Hyperlink"/>
            <w:rFonts w:ascii="Times New Roman" w:hAnsi="Times New Roman" w:cs="Times New Roman"/>
          </w:rPr>
          <w:t>2022</w:t>
        </w:r>
      </w:hyperlink>
      <w:r w:rsidR="00263ED9">
        <w:rPr>
          <w:rFonts w:ascii="Times New Roman" w:hAnsi="Times New Roman" w:cs="Times New Roman"/>
        </w:rPr>
        <w:t xml:space="preserve"> and </w:t>
      </w:r>
      <w:hyperlink r:id="rId17" w:history="1">
        <w:r w:rsidR="00263ED9" w:rsidRPr="00B52751">
          <w:rPr>
            <w:rStyle w:val="Hyperlink"/>
            <w:rFonts w:ascii="Times New Roman" w:hAnsi="Times New Roman" w:cs="Times New Roman"/>
          </w:rPr>
          <w:t>2024</w:t>
        </w:r>
      </w:hyperlink>
      <w:r w:rsidR="00263ED9">
        <w:rPr>
          <w:rFonts w:ascii="Times New Roman" w:hAnsi="Times New Roman" w:cs="Times New Roman"/>
        </w:rPr>
        <w:t>), we must use somehow extrapolate the value to guess how much indirect tax were in 2019, 2020 and 2023.</w:t>
      </w:r>
    </w:p>
    <w:p w14:paraId="3C0021A3" w14:textId="1DD9BC3C" w:rsidR="00A710A7" w:rsidRDefault="00A710A7" w:rsidP="00A710A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</w:t>
      </w:r>
      <w:r w:rsidRPr="00A710A7">
        <w:rPr>
          <w:rFonts w:ascii="Times New Roman" w:hAnsi="Times New Roman" w:cs="Times New Roman"/>
        </w:rPr>
        <w:t>ousehold-weighted provincial average direct fuel-charge burden</w:t>
      </w:r>
    </w:p>
    <w:p w14:paraId="06A6482C" w14:textId="5A3EBEA3" w:rsidR="00AD28AE" w:rsidRPr="006F086A" w:rsidRDefault="002A755C" w:rsidP="00AD28AE">
      <w:pPr>
        <w:pStyle w:val="ListParagraph"/>
        <w:spacing w:line="360" w:lineRule="auto"/>
        <w:ind w:left="1080"/>
        <w:rPr>
          <w:rFonts w:ascii="Times New Roman" w:hAnsi="Times New Roman" w:cs="Times New Roman"/>
          <w:iCs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 w:hint="eastAsia"/>
                    </w:rPr>
                    <m:t>T</m:t>
                  </m:r>
                  <m:ctrlPr>
                    <w:rPr>
                      <w:rFonts w:ascii="Cambria Math" w:hAnsi="Cambria Math" w:cs="Times New Roman" w:hint="eastAsia"/>
                      <w:i/>
                    </w:rPr>
                  </m:ctrlPr>
                </m:e>
              </m:acc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  <m:r>
                <w:rPr>
                  <w:rFonts w:ascii="Cambria Math" w:hAnsi="Cambria Math" w:cs="Times New Roman"/>
                </w:rPr>
                <m:t>,t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direct</m:t>
              </m:r>
              <m:ctrlPr>
                <w:rPr>
                  <w:rFonts w:ascii="Cambria Math" w:hAnsi="Cambria Math" w:cs="Times New Roman"/>
                  <w:iCs/>
                </w:rPr>
              </m:ctrlPr>
            </m:sup>
          </m:sSub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q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  <m:r>
                        <w:rPr>
                          <w:rFonts w:ascii="Cambria Math" w:hAnsi="Cambria Math" w:cs="Times New Roman"/>
                        </w:rPr>
                        <m:t>qt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rqt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direct</m:t>
                      </m:r>
                      <m:ctrlPr>
                        <w:rPr>
                          <w:rFonts w:ascii="Cambria Math" w:hAnsi="Cambria Math" w:cs="Times New Roman"/>
                        </w:rPr>
                      </m:ctrlPr>
                    </m:sup>
                  </m:sSubSup>
                </m:e>
              </m:nary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q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  <m:r>
                        <w:rPr>
                          <w:rFonts w:ascii="Cambria Math" w:hAnsi="Cambria Math" w:cs="Times New Roman"/>
                        </w:rPr>
                        <m:t>qt</m:t>
                      </m:r>
                    </m:sub>
                  </m:sSub>
                </m:e>
              </m:nary>
            </m:den>
          </m:f>
        </m:oMath>
      </m:oMathPara>
    </w:p>
    <w:p w14:paraId="3A402E5A" w14:textId="1FA04092" w:rsidR="006F086A" w:rsidRDefault="006F086A" w:rsidP="00AD28AE">
      <w:pPr>
        <w:pStyle w:val="ListParagraph"/>
        <w:spacing w:line="360" w:lineRule="auto"/>
        <w:ind w:left="108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pqt</m:t>
            </m:r>
          </m:sub>
        </m:sSub>
        <m:r>
          <w:rPr>
            <w:rFonts w:ascii="Cambria Math" w:hAnsi="Cambria Math" w:cs="Times New Roman"/>
          </w:rPr>
          <m:t>=</m:t>
        </m:r>
      </m:oMath>
      <w:r>
        <w:rPr>
          <w:rFonts w:ascii="Times New Roman" w:hAnsi="Times New Roman" w:cs="Times New Roman"/>
          <w:iCs/>
        </w:rPr>
        <w:t xml:space="preserve"> Number of households in quintile </w:t>
      </w:r>
      <m:oMath>
        <m:r>
          <w:rPr>
            <w:rFonts w:ascii="Cambria Math" w:hAnsi="Cambria Math" w:cs="Times New Roman"/>
          </w:rPr>
          <m:t>q</m:t>
        </m:r>
      </m:oMath>
      <w:r w:rsidR="00145D0C">
        <w:rPr>
          <w:rFonts w:ascii="Times New Roman" w:hAnsi="Times New Roman" w:cs="Times New Roman"/>
          <w:iCs/>
        </w:rPr>
        <w:t xml:space="preserve"> in </w:t>
      </w:r>
      <w:r w:rsidR="000A3C71">
        <w:rPr>
          <w:rFonts w:ascii="Times New Roman" w:hAnsi="Times New Roman" w:cs="Times New Roman"/>
          <w:iCs/>
        </w:rPr>
        <w:t xml:space="preserve">province </w:t>
      </w:r>
      <m:oMath>
        <m:r>
          <w:rPr>
            <w:rFonts w:ascii="Cambria Math" w:hAnsi="Cambria Math" w:cs="Times New Roman"/>
          </w:rPr>
          <m:t>r</m:t>
        </m:r>
      </m:oMath>
      <w:r w:rsidR="00C32667">
        <w:rPr>
          <w:rFonts w:ascii="Times New Roman" w:hAnsi="Times New Roman" w:cs="Times New Roman"/>
          <w:iCs/>
        </w:rPr>
        <w:t xml:space="preserve"> at year </w:t>
      </w:r>
      <m:oMath>
        <m:r>
          <w:rPr>
            <w:rFonts w:ascii="Cambria Math" w:hAnsi="Cambria Math" w:cs="Times New Roman"/>
          </w:rPr>
          <m:t>t</m:t>
        </m:r>
      </m:oMath>
      <w:r w:rsidR="00C32667">
        <w:rPr>
          <w:rFonts w:ascii="Times New Roman" w:hAnsi="Times New Roman" w:cs="Times New Roman"/>
          <w:iCs/>
        </w:rPr>
        <w:t xml:space="preserve">. </w:t>
      </w:r>
    </w:p>
    <w:p w14:paraId="1F68CDFE" w14:textId="2A6F67B5" w:rsidR="00342FDF" w:rsidRDefault="00342FDF" w:rsidP="00462A76">
      <w:p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In an anchor year (2021, 2022, 2024), </w:t>
      </w:r>
      <w:r w:rsidR="00462A76" w:rsidRPr="00462A76">
        <w:rPr>
          <w:rFonts w:ascii="Times New Roman" w:hAnsi="Times New Roman" w:cs="Times New Roman"/>
          <w:iCs/>
        </w:rPr>
        <w:t xml:space="preserve">the model takes an external estimate of the </w:t>
      </w:r>
      <w:r w:rsidR="00462A76" w:rsidRPr="00462A76">
        <w:rPr>
          <w:rFonts w:ascii="Times New Roman" w:hAnsi="Times New Roman" w:cs="Times New Roman"/>
          <w:b/>
          <w:bCs/>
          <w:iCs/>
        </w:rPr>
        <w:t>average cost impact per household</w:t>
      </w:r>
      <w:r w:rsidR="00462A76" w:rsidRPr="00462A76">
        <w:rPr>
          <w:rFonts w:ascii="Times New Roman" w:hAnsi="Times New Roman" w:cs="Times New Roman"/>
          <w:iCs/>
        </w:rPr>
        <w:t xml:space="preserve"> (direct + indirect</w:t>
      </w:r>
      <w:r w:rsidR="00C065A4">
        <w:rPr>
          <w:rFonts w:ascii="Times New Roman" w:hAnsi="Times New Roman" w:cs="Times New Roman"/>
          <w:iCs/>
        </w:rPr>
        <w:t xml:space="preserve">) </w:t>
      </w:r>
      <w:r w:rsidR="00462A76" w:rsidRPr="00462A76">
        <w:rPr>
          <w:rFonts w:ascii="Times New Roman" w:hAnsi="Times New Roman" w:cs="Times New Roman"/>
          <w:iCs/>
        </w:rPr>
        <w:t xml:space="preserve">denoted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r</m:t>
            </m:r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462A76" w:rsidRPr="00462A76">
        <w:rPr>
          <w:rFonts w:ascii="Times New Roman" w:hAnsi="Times New Roman" w:cs="Times New Roman"/>
          <w:iCs/>
        </w:rPr>
        <w:t xml:space="preserve">, and backs out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κ</m:t>
            </m:r>
          </m:e>
          <m:sub>
            <m:r>
              <w:rPr>
                <w:rFonts w:ascii="Cambria Math" w:hAnsi="Cambria Math" w:cs="Times New Roman"/>
              </w:rPr>
              <m:t>r</m:t>
            </m:r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462A76" w:rsidRPr="00462A76">
        <w:rPr>
          <w:rFonts w:ascii="Times New Roman" w:hAnsi="Times New Roman" w:cs="Times New Roman"/>
          <w:iCs/>
        </w:rPr>
        <w:t>by rearranging the gross-cost identity:</w:t>
      </w:r>
    </w:p>
    <w:p w14:paraId="3714CBF9" w14:textId="61E35AA0" w:rsidR="00FB0A12" w:rsidRPr="00C065A4" w:rsidRDefault="007B39BD" w:rsidP="00462A76">
      <w:pPr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κ</m:t>
              </m:r>
            </m:e>
            <m:sub>
              <m:r>
                <w:rPr>
                  <w:rFonts w:ascii="Cambria Math" w:hAnsi="Cambria Math" w:cs="Times New Roman"/>
                </w:rPr>
                <m:t>rt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rt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Sup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acc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rt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direct</m:t>
                  </m:r>
                  <m:ctrlPr>
                    <w:rPr>
                      <w:rFonts w:ascii="Cambria Math" w:hAnsi="Cambria Math" w:cs="Times New Roman"/>
                    </w:rPr>
                  </m:ctrlPr>
                </m:sup>
              </m:sSubSup>
            </m:den>
          </m:f>
          <m:r>
            <w:rPr>
              <w:rFonts w:ascii="Cambria Math" w:hAnsi="Cambria Math" w:cs="Times New Roman"/>
            </w:rPr>
            <m:t>-1</m:t>
          </m:r>
        </m:oMath>
      </m:oMathPara>
    </w:p>
    <w:p w14:paraId="4C693D11" w14:textId="6D4BEB74" w:rsidR="005732B1" w:rsidRPr="00342FDF" w:rsidRDefault="005732B1" w:rsidP="00D13837">
      <w:p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Remaining </w:t>
      </w:r>
      <m:oMath>
        <m:r>
          <w:rPr>
            <w:rFonts w:ascii="Cambria Math" w:hAnsi="Cambria Math" w:cs="Times New Roman"/>
          </w:rPr>
          <m:t>κ</m:t>
        </m:r>
      </m:oMath>
      <w:r>
        <w:rPr>
          <w:rFonts w:ascii="Times New Roman" w:hAnsi="Times New Roman" w:cs="Times New Roman"/>
          <w:iCs/>
        </w:rPr>
        <w:t xml:space="preserve"> are fitted using OLS.</w:t>
      </w:r>
    </w:p>
    <w:sectPr w:rsidR="005732B1" w:rsidRPr="00342F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C82"/>
    <w:multiLevelType w:val="hybridMultilevel"/>
    <w:tmpl w:val="FA485E6A"/>
    <w:lvl w:ilvl="0" w:tplc="B840E16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D70B0"/>
    <w:multiLevelType w:val="hybridMultilevel"/>
    <w:tmpl w:val="5BF6788E"/>
    <w:lvl w:ilvl="0" w:tplc="AECAEB5A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E19D4"/>
    <w:multiLevelType w:val="hybridMultilevel"/>
    <w:tmpl w:val="B5365314"/>
    <w:lvl w:ilvl="0" w:tplc="AC281C5E"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1342448">
    <w:abstractNumId w:val="1"/>
  </w:num>
  <w:num w:numId="2" w16cid:durableId="1790776306">
    <w:abstractNumId w:val="0"/>
  </w:num>
  <w:num w:numId="3" w16cid:durableId="1094669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94"/>
    <w:rsid w:val="000136DB"/>
    <w:rsid w:val="000A3C71"/>
    <w:rsid w:val="000D513C"/>
    <w:rsid w:val="0012543D"/>
    <w:rsid w:val="00145D0C"/>
    <w:rsid w:val="001701E8"/>
    <w:rsid w:val="001C6292"/>
    <w:rsid w:val="00220EA0"/>
    <w:rsid w:val="0022730F"/>
    <w:rsid w:val="00236AB1"/>
    <w:rsid w:val="00263ED9"/>
    <w:rsid w:val="00265D2A"/>
    <w:rsid w:val="0027130E"/>
    <w:rsid w:val="002A755C"/>
    <w:rsid w:val="002F7C88"/>
    <w:rsid w:val="003371DD"/>
    <w:rsid w:val="00342FDF"/>
    <w:rsid w:val="00380F4E"/>
    <w:rsid w:val="003907C4"/>
    <w:rsid w:val="003C0CFA"/>
    <w:rsid w:val="003E6CF1"/>
    <w:rsid w:val="00412A8D"/>
    <w:rsid w:val="004257DF"/>
    <w:rsid w:val="00462A76"/>
    <w:rsid w:val="00482A0D"/>
    <w:rsid w:val="004B0483"/>
    <w:rsid w:val="004C2E83"/>
    <w:rsid w:val="0055439D"/>
    <w:rsid w:val="00565A62"/>
    <w:rsid w:val="005732B1"/>
    <w:rsid w:val="00581B62"/>
    <w:rsid w:val="005D12FE"/>
    <w:rsid w:val="00676100"/>
    <w:rsid w:val="00692DC6"/>
    <w:rsid w:val="006F086A"/>
    <w:rsid w:val="00767C20"/>
    <w:rsid w:val="00790446"/>
    <w:rsid w:val="00795AF1"/>
    <w:rsid w:val="007A6DD6"/>
    <w:rsid w:val="007B39BD"/>
    <w:rsid w:val="00910496"/>
    <w:rsid w:val="0092523E"/>
    <w:rsid w:val="009D20B7"/>
    <w:rsid w:val="009F1FB0"/>
    <w:rsid w:val="00A34E84"/>
    <w:rsid w:val="00A710A7"/>
    <w:rsid w:val="00A81ACB"/>
    <w:rsid w:val="00AB2D4F"/>
    <w:rsid w:val="00AD28AE"/>
    <w:rsid w:val="00AD5152"/>
    <w:rsid w:val="00B1543C"/>
    <w:rsid w:val="00B52751"/>
    <w:rsid w:val="00B640B2"/>
    <w:rsid w:val="00B77994"/>
    <w:rsid w:val="00B80C30"/>
    <w:rsid w:val="00B9548D"/>
    <w:rsid w:val="00B96772"/>
    <w:rsid w:val="00C065A4"/>
    <w:rsid w:val="00C110D9"/>
    <w:rsid w:val="00C32667"/>
    <w:rsid w:val="00C54A9E"/>
    <w:rsid w:val="00C85FA6"/>
    <w:rsid w:val="00CC20A7"/>
    <w:rsid w:val="00CC49C4"/>
    <w:rsid w:val="00CF5E34"/>
    <w:rsid w:val="00D13837"/>
    <w:rsid w:val="00D74E3E"/>
    <w:rsid w:val="00DC0A13"/>
    <w:rsid w:val="00E1193A"/>
    <w:rsid w:val="00E13E7A"/>
    <w:rsid w:val="00E16F64"/>
    <w:rsid w:val="00E74BFA"/>
    <w:rsid w:val="00EB65CF"/>
    <w:rsid w:val="00EC3196"/>
    <w:rsid w:val="00F1543B"/>
    <w:rsid w:val="00F87494"/>
    <w:rsid w:val="00FB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BD4F93"/>
  <w15:chartTrackingRefBased/>
  <w15:docId w15:val="{1503103C-F725-4F45-9212-C2A863A7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A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AF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95AF1"/>
    <w:rPr>
      <w:color w:val="666666"/>
    </w:rPr>
  </w:style>
  <w:style w:type="character" w:styleId="Emphasis">
    <w:name w:val="Emphasis"/>
    <w:basedOn w:val="DefaultParagraphFont"/>
    <w:uiPriority w:val="20"/>
    <w:qFormat/>
    <w:rsid w:val="00E13E7A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565A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lterskluwer.com/en-ca/expert-insights/canada-carbon-rebate-for-individuals" TargetMode="External"/><Relationship Id="rId13" Type="http://schemas.openxmlformats.org/officeDocument/2006/relationships/hyperlink" Target="https://www.canada.ca/en/department-finance/news/2022/11/climate-action-incentive-payment-amounts-for-2023-24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aws-lois.justice.gc.ca/eng/acts/g-11.55/20250315/P1TT3xt3.html" TargetMode="External"/><Relationship Id="rId12" Type="http://schemas.openxmlformats.org/officeDocument/2006/relationships/hyperlink" Target="https://www.canada.ca/en/department-finance/news/2022/03/climate-action-incentive-payment-amounts-for-2022-23.html" TargetMode="External"/><Relationship Id="rId17" Type="http://schemas.openxmlformats.org/officeDocument/2006/relationships/hyperlink" Target="https://www.canada.ca/en/department-finance/news/2024/02/canada-carbon-rebate-amounts-for-2024-25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anada.ca/en/department-finance/news/2022/03/climate-action-incentive-payment-amounts-for-2022-23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aws-lois.justice.gc.ca/eng/acts/g-11.55/20250315/P1TT3xt3.html" TargetMode="External"/><Relationship Id="rId11" Type="http://schemas.openxmlformats.org/officeDocument/2006/relationships/hyperlink" Target="https://www.canada.ca/en/department-finance/news/2020/12/climate-action-incentive-payment-amounts-for-2021.html" TargetMode="External"/><Relationship Id="rId5" Type="http://schemas.openxmlformats.org/officeDocument/2006/relationships/hyperlink" Target="https://laws-lois.justice.gc.ca/eng/acts/g-11.55/20250315/P1TT3xt3.html" TargetMode="External"/><Relationship Id="rId15" Type="http://schemas.openxmlformats.org/officeDocument/2006/relationships/hyperlink" Target="https://www.canada.ca/en/department-finance/news/2020/12/climate-action-incentive-payment-amounts-for-2021.html" TargetMode="External"/><Relationship Id="rId10" Type="http://schemas.openxmlformats.org/officeDocument/2006/relationships/hyperlink" Target="https://www.canada.ca/en/department-finance/news/2019/12/climate-action-incentive-payment-amounts-for-2020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en/department-finance/news/2018/12/minister-of-finance-confirms-amounts-of-climate-action-incentive-payments-for-2019.html" TargetMode="External"/><Relationship Id="rId14" Type="http://schemas.openxmlformats.org/officeDocument/2006/relationships/hyperlink" Target="https://www150.statcan.gc.ca/t1/tbl1/en/tv.action?pid=2510006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faf88fe-a998-4c5b-93c9-210a11d9a5c2}" enabled="0" method="" siteId="{1faf88fe-a998-4c5b-93c9-210a11d9a5c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973</Words>
  <Characters>5158</Characters>
  <Application>Microsoft Office Word</Application>
  <DocSecurity>0</DocSecurity>
  <Lines>109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RSPUB</dc:creator>
  <cp:keywords/>
  <dc:description/>
  <cp:lastModifiedBy>RSPUB</cp:lastModifiedBy>
  <cp:revision>46</cp:revision>
  <dcterms:created xsi:type="dcterms:W3CDTF">2026-02-10T14:53:00Z</dcterms:created>
  <dcterms:modified xsi:type="dcterms:W3CDTF">2026-02-11T14:31:00Z</dcterms:modified>
</cp:coreProperties>
</file>