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Fonts w:eastAsia="Arial" w:cs="Arial"/>
          <w:b/>
          <w:bCs/>
          <w:color w:val="2E75B6"/>
          <w:sz w:val="44"/>
          <w:szCs w:val="44"/>
        </w:rPr>
        <w:t>Laboratory Competency Evaluations</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Student Name</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 xml:space="preserve">Andy Diaz </w:t>
            </w:r>
            <w:r>
              <w:rPr>
                <w:rFonts w:eastAsia="Arial" w:cs="Arial"/>
                <w:sz w:val="22"/>
                <w:szCs w:val="22"/>
              </w:rPr>
              <w:t>Gomez</w:t>
            </w:r>
          </w:p>
        </w:tc>
      </w:tr>
      <w:tr>
        <w:trPr/>
        <w:tc>
          <w:tcPr>
            <w:tcW w:w="29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Program</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Professional Nursing, ADN</w:t>
            </w:r>
          </w:p>
        </w:tc>
      </w:tr>
      <w:tr>
        <w:trPr/>
        <w:tc>
          <w:tcPr>
            <w:tcW w:w="29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Academic Year</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2024–2026</w:t>
            </w:r>
          </w:p>
        </w:tc>
      </w:tr>
      <w:tr>
        <w:trPr/>
        <w:tc>
          <w:tcPr>
            <w:tcW w:w="2998"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Overall Competency</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Highly competent; exhibits mastery and confidence in all evaluations</w:t>
            </w:r>
          </w:p>
        </w:tc>
      </w:tr>
    </w:tbl>
    <w:p>
      <w:pPr>
        <w:pStyle w:val="Normal"/>
        <w:spacing w:before="0" w:after="200"/>
        <w:rPr/>
      </w:pPr>
      <w:r>
        <w:rPr/>
      </w:r>
    </w:p>
    <w:p>
      <w:pPr>
        <w:pStyle w:val="Normal"/>
        <w:pBdr>
          <w:bottom w:val="single" w:sz="8" w:space="1" w:color="2E75B6"/>
        </w:pBdr>
        <w:spacing w:before="0" w:after="200"/>
        <w:jc w:val="center"/>
        <w:rPr/>
      </w:pPr>
      <w:r>
        <w:rPr>
          <w:rFonts w:eastAsia="Arial" w:cs="Arial"/>
          <w:b/>
          <w:bCs/>
          <w:color w:val="1F4E79"/>
          <w:sz w:val="32"/>
          <w:szCs w:val="32"/>
        </w:rPr>
        <w:t>Overview</w:t>
      </w:r>
    </w:p>
    <w:p>
      <w:pPr>
        <w:pStyle w:val="Normal"/>
        <w:spacing w:before="0" w:after="80"/>
        <w:rPr/>
      </w:pPr>
      <w:r>
        <w:rPr>
          <w:rFonts w:eastAsia="Arial" w:cs="Arial"/>
          <w:b w:val="false"/>
          <w:bCs w:val="false"/>
          <w:sz w:val="22"/>
          <w:szCs w:val="22"/>
        </w:rPr>
        <w:t>This paper collates the laboratory competency assessments that the student has done during the entire nursing program. Clinic laboratory competencies are graded on a pass/fail level only while separate skills are graded as Satisfactory (S), Needs Improvement (NI), and Unsatisfactory (U). The student showed a good level of performance and closeness to mastery in the competencies of all assessment domains.</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2300 — Medical-Surgical II: Laboratory Competency Summary</w:t>
      </w:r>
    </w:p>
    <w:p>
      <w:pPr>
        <w:pStyle w:val="Normal"/>
        <w:spacing w:before="240" w:after="100"/>
        <w:rPr/>
      </w:pPr>
      <w:r>
        <w:rPr>
          <w:rFonts w:eastAsia="Arial" w:cs="Arial"/>
          <w:b/>
          <w:bCs/>
          <w:color w:val="2E75B6"/>
          <w:sz w:val="26"/>
          <w:szCs w:val="26"/>
        </w:rPr>
        <w:t>Evaluation Outcome: Pass — #S: 47 | #NI: 2 | #U: 0</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The student showed proficiency in almost all 53 clinical performance indicators at both midterm and final assessments. Faculty especially highlighted these areas of competency:</w:t>
      </w:r>
    </w:p>
    <w:p>
      <w:pPr>
        <w:pStyle w:val="ListParagraph"/>
        <w:numPr>
          <w:ilvl w:val="0"/>
          <w:numId w:val="1"/>
        </w:numPr>
        <w:spacing w:before="0" w:after="60"/>
        <w:rPr>
          <w:rFonts w:ascii="Arial" w:hAnsi="Arial" w:eastAsia="Arial" w:cs="Arial"/>
          <w:sz w:val="22"/>
          <w:szCs w:val="22"/>
        </w:rPr>
      </w:pPr>
      <w:r>
        <w:rPr>
          <w:rFonts w:eastAsia="Arial" w:cs="Arial"/>
          <w:sz w:val="22"/>
          <w:szCs w:val="22"/>
        </w:rPr>
        <w:t xml:space="preserve">Assessment: Performs comprehensive assessments of the patient which include vital signs, physical examination that is directed to the problem, and psychosocial data. </w:t>
      </w:r>
    </w:p>
    <w:p>
      <w:pPr>
        <w:pStyle w:val="BodyText"/>
        <w:numPr>
          <w:ilvl w:val="0"/>
          <w:numId w:val="1"/>
        </w:numPr>
        <w:spacing w:before="0" w:after="60"/>
        <w:rPr/>
      </w:pPr>
      <w:r>
        <w:rPr>
          <w:rFonts w:eastAsia="Arial" w:cs="Arial"/>
          <w:sz w:val="22"/>
          <w:szCs w:val="22"/>
        </w:rPr>
        <w:t>Clinical Reasoning: Gets the right meaning from lab results and recognizes the abnormal findings.</w:t>
      </w:r>
    </w:p>
    <w:p>
      <w:pPr>
        <w:pStyle w:val="BodyText"/>
        <w:numPr>
          <w:ilvl w:val="0"/>
          <w:numId w:val="1"/>
        </w:numPr>
        <w:spacing w:before="0" w:after="60"/>
        <w:rPr/>
      </w:pPr>
      <w:r>
        <w:rPr>
          <w:rFonts w:eastAsia="Arial" w:cs="Arial"/>
          <w:sz w:val="22"/>
          <w:szCs w:val="22"/>
        </w:rPr>
        <w:t>Medication Safety: Consistently explains clearly the drug purpose actions side effects, and nursing implications.</w:t>
      </w:r>
    </w:p>
    <w:p>
      <w:pPr>
        <w:pStyle w:val="BodyText"/>
        <w:numPr>
          <w:ilvl w:val="0"/>
          <w:numId w:val="1"/>
        </w:numPr>
        <w:spacing w:before="0" w:after="60"/>
        <w:rPr/>
      </w:pPr>
      <w:r>
        <w:rPr>
          <w:rFonts w:eastAsia="Arial" w:cs="Arial"/>
          <w:sz w:val="22"/>
          <w:szCs w:val="22"/>
        </w:rPr>
        <w:t>Infection Control: Adherence to National Patient Safety Goals; performing hand hygiene and use of standard precautions.</w:t>
      </w:r>
    </w:p>
    <w:p>
      <w:pPr>
        <w:pStyle w:val="BodyText"/>
        <w:numPr>
          <w:ilvl w:val="0"/>
          <w:numId w:val="1"/>
        </w:numPr>
        <w:spacing w:before="0" w:after="60"/>
        <w:rPr/>
      </w:pPr>
      <w:r>
        <w:rPr>
          <w:rFonts w:eastAsia="Arial" w:cs="Arial"/>
          <w:sz w:val="22"/>
          <w:szCs w:val="22"/>
        </w:rPr>
        <w:t>Documentation: Every piece of nursing documentation is always time, bound, precise, and detailed both in simulated and clinical scenarios.</w:t>
      </w:r>
    </w:p>
    <w:p>
      <w:pPr>
        <w:pStyle w:val="BodyText"/>
        <w:numPr>
          <w:ilvl w:val="0"/>
          <w:numId w:val="1"/>
        </w:numPr>
        <w:spacing w:before="0" w:after="60"/>
        <w:rPr>
          <w:rFonts w:ascii="Arial" w:hAnsi="Arial" w:eastAsia="Arial" w:cs="Arial"/>
          <w:sz w:val="22"/>
          <w:szCs w:val="22"/>
        </w:rPr>
      </w:pPr>
      <w:r>
        <w:rPr>
          <w:rFonts w:eastAsia="Arial" w:cs="Arial"/>
          <w:sz w:val="22"/>
          <w:szCs w:val="22"/>
        </w:rPr>
        <w:t>Professional Behavior: Exhibited a positive attitude, taking responsibility, and willingness to receive feedback during the whole time.</w:t>
      </w:r>
    </w:p>
    <w:p>
      <w:pPr>
        <w:pStyle w:val="Normal"/>
        <w:spacing w:before="0" w:after="80"/>
        <w:rPr/>
      </w:pPr>
      <w:r>
        <w:rPr>
          <w:rFonts w:eastAsia="Arial" w:cs="Arial"/>
          <w:b/>
          <w:bCs/>
          <w:sz w:val="22"/>
          <w:szCs w:val="22"/>
        </w:rPr>
        <w:t>Faculty Midterm Note: Strong knowledge base of clinical nursing principles; continue developing documentation efficiency.</w:t>
      </w:r>
    </w:p>
    <w:p>
      <w:pPr>
        <w:pStyle w:val="Normal"/>
        <w:spacing w:before="0" w:after="80"/>
        <w:rPr/>
      </w:pPr>
      <w:r>
        <w:rPr>
          <w:rFonts w:eastAsia="Arial" w:cs="Arial"/>
          <w:b w:val="false"/>
          <w:bCs w:val="false"/>
          <w:sz w:val="22"/>
          <w:szCs w:val="22"/>
        </w:rPr>
        <w:t>Student Midterm Reflection: Successfully integrated Med-Surg II theory into clinical practice; committed to improving assessment efficiency and documentation quality.</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2310 — Maternity &amp; Newborn: Laboratory Competency Summary</w:t>
      </w:r>
    </w:p>
    <w:p>
      <w:pPr>
        <w:pStyle w:val="Normal"/>
        <w:spacing w:before="240" w:after="100"/>
        <w:rPr/>
      </w:pPr>
      <w:r>
        <w:rPr>
          <w:rFonts w:eastAsia="Arial" w:cs="Arial"/>
          <w:b/>
          <w:bCs/>
          <w:color w:val="2E75B6"/>
          <w:sz w:val="26"/>
          <w:szCs w:val="26"/>
        </w:rPr>
        <w:t>Evaluation Outcome: Pass — #S: All Items | #U: 0</w:t>
      </w:r>
    </w:p>
    <w:p>
      <w:pPr>
        <w:pStyle w:val="BodyText"/>
        <w:spacing w:before="0" w:after="80"/>
        <w:rPr/>
      </w:pPr>
      <w:r>
        <w:rPr>
          <w:rFonts w:eastAsia="Arial" w:cs="Arial"/>
          <w:b w:val="false"/>
          <w:bCs w:val="false"/>
          <w:sz w:val="22"/>
          <w:szCs w:val="22"/>
        </w:rPr>
        <w:t>The Maternity and Newborn laboratory evaluations measured the students' skills in perinatal and neonatal care. Overall, the student performed from satisfactory to outstanding in all the indicators that were evaluated:</w:t>
      </w:r>
    </w:p>
    <w:p>
      <w:pPr>
        <w:pStyle w:val="BodyText"/>
        <w:numPr>
          <w:ilvl w:val="0"/>
          <w:numId w:val="1"/>
        </w:numPr>
        <w:spacing w:before="0" w:after="60"/>
        <w:rPr/>
      </w:pPr>
      <w:r>
        <w:rPr>
          <w:rFonts w:eastAsia="Arial" w:cs="Arial"/>
          <w:sz w:val="22"/>
          <w:szCs w:val="22"/>
        </w:rPr>
        <w:t>Perinatal Assessment: Different types of perinatal assessments, including antepartum, intrapartum, and postpartum, carried out accurately using the proper technique</w:t>
      </w:r>
    </w:p>
    <w:p>
      <w:pPr>
        <w:pStyle w:val="BodyText"/>
        <w:numPr>
          <w:ilvl w:val="0"/>
          <w:numId w:val="1"/>
        </w:numPr>
        <w:spacing w:before="0" w:after="60"/>
        <w:rPr/>
      </w:pPr>
      <w:r>
        <w:rPr>
          <w:rFonts w:eastAsia="Arial" w:cs="Arial"/>
          <w:sz w:val="22"/>
          <w:szCs w:val="22"/>
        </w:rPr>
        <w:t>Newborn Care: Correctly measuring newborn vital signs, weight, and developmental milestones; accurately recording the results</w:t>
      </w:r>
    </w:p>
    <w:p>
      <w:pPr>
        <w:pStyle w:val="BodyText"/>
        <w:numPr>
          <w:ilvl w:val="0"/>
          <w:numId w:val="1"/>
        </w:numPr>
        <w:spacing w:before="0" w:after="60"/>
        <w:rPr/>
      </w:pPr>
      <w:r>
        <w:rPr>
          <w:rFonts w:eastAsia="Arial" w:cs="Arial"/>
          <w:sz w:val="22"/>
          <w:szCs w:val="22"/>
        </w:rPr>
        <w:t>Patient Education: Communicating health education messages using language that is understandable to patients and following health literacy principles</w:t>
      </w:r>
    </w:p>
    <w:p>
      <w:pPr>
        <w:pStyle w:val="BodyText"/>
        <w:numPr>
          <w:ilvl w:val="0"/>
          <w:numId w:val="1"/>
        </w:numPr>
        <w:spacing w:before="0" w:after="60"/>
        <w:rPr/>
      </w:pPr>
      <w:r>
        <w:rPr>
          <w:rFonts w:eastAsia="Arial" w:cs="Arial"/>
          <w:sz w:val="22"/>
          <w:szCs w:val="22"/>
        </w:rPr>
        <w:t>Family, Centered Care: Using therapeutic communication to effectively interact with and support diverse family structures and cultural backgrounds</w:t>
      </w:r>
    </w:p>
    <w:p>
      <w:pPr>
        <w:pStyle w:val="BodyText"/>
        <w:numPr>
          <w:ilvl w:val="0"/>
          <w:numId w:val="1"/>
        </w:numPr>
        <w:spacing w:before="0" w:after="60"/>
        <w:rPr>
          <w:rFonts w:ascii="Arial" w:hAnsi="Arial" w:eastAsia="Arial" w:cs="Arial"/>
          <w:sz w:val="22"/>
          <w:szCs w:val="22"/>
        </w:rPr>
      </w:pPr>
      <w:r>
        <w:rPr>
          <w:rFonts w:eastAsia="Arial" w:cs="Arial"/>
          <w:sz w:val="22"/>
          <w:szCs w:val="22"/>
        </w:rPr>
        <w:t>Medication Competency: Perinatal medications given in a safe manner along with provision of correct explanations for the rationale</w:t>
      </w:r>
    </w:p>
    <w:p>
      <w:pPr>
        <w:pStyle w:val="Normal"/>
        <w:spacing w:before="0" w:after="80"/>
        <w:rPr/>
      </w:pPr>
      <w:r>
        <w:rPr>
          <w:rFonts w:eastAsia="Arial" w:cs="Arial"/>
          <w:b/>
          <w:bCs/>
          <w:sz w:val="22"/>
          <w:szCs w:val="22"/>
        </w:rPr>
        <w:t>Faculty Midterm Note: Demonstrates strong assessment skills; needs to continue developing speed and confidence in newborn assessment procedures.</w:t>
      </w:r>
    </w:p>
    <w:p>
      <w:pPr>
        <w:pStyle w:val="Normal"/>
        <w:spacing w:before="0" w:after="80"/>
        <w:rPr/>
      </w:pPr>
      <w:r>
        <w:rPr>
          <w:rFonts w:eastAsia="Arial" w:cs="Arial"/>
          <w:b w:val="false"/>
          <w:bCs w:val="false"/>
          <w:sz w:val="22"/>
          <w:szCs w:val="22"/>
        </w:rPr>
        <w:t>Faculty Final Note: Demonstrates strong clinical reasoning and communication skills; shows significant improvement and confidence across all clinical settings.</w:t>
      </w:r>
    </w:p>
    <w:p>
      <w:pPr>
        <w:pStyle w:val="Normal"/>
        <w:spacing w:before="0" w:after="80"/>
        <w:rPr/>
      </w:pPr>
      <w:r>
        <w:rPr>
          <w:rFonts w:eastAsia="Arial" w:cs="Arial"/>
          <w:b w:val="false"/>
          <w:bCs w:val="false"/>
          <w:sz w:val="22"/>
          <w:szCs w:val="22"/>
        </w:rPr>
        <w:t>Student Final Reflection: Developed critical clinical thinking skills that will help me provide comprehensive and compassionate care in clinical settings.</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2320 — Pediatrics: Laboratory Competency Summary</w:t>
      </w:r>
    </w:p>
    <w:p>
      <w:pPr>
        <w:pStyle w:val="Normal"/>
        <w:spacing w:before="240" w:after="100"/>
        <w:rPr/>
      </w:pPr>
      <w:r>
        <w:rPr>
          <w:rFonts w:eastAsia="Arial" w:cs="Arial"/>
          <w:b/>
          <w:bCs/>
          <w:color w:val="2E75B6"/>
          <w:sz w:val="26"/>
          <w:szCs w:val="26"/>
        </w:rPr>
        <w:t>Evaluation Outcome: Pass — All Satisfactory | #U: 0</w:t>
      </w:r>
    </w:p>
    <w:p>
      <w:pPr>
        <w:pStyle w:val="BodyText"/>
        <w:spacing w:before="0" w:after="80"/>
        <w:rPr/>
      </w:pPr>
      <w:r>
        <w:rPr>
          <w:rFonts w:eastAsia="Arial" w:cs="Arial"/>
          <w:b w:val="false"/>
          <w:bCs w:val="false"/>
          <w:sz w:val="22"/>
          <w:szCs w:val="22"/>
        </w:rPr>
        <w:t>Pediatric laboratory evaluations measured the student's competence in several unique areas of challenged that caring for children and adolescents present. The student was rated satisfactory on all indicators at both midterm and final evaluations:</w:t>
      </w:r>
    </w:p>
    <w:p>
      <w:pPr>
        <w:pStyle w:val="ListParagraph"/>
        <w:numPr>
          <w:ilvl w:val="0"/>
          <w:numId w:val="1"/>
        </w:numPr>
        <w:spacing w:before="0" w:after="60"/>
        <w:rPr/>
      </w:pPr>
      <w:r>
        <w:rPr>
          <w:rFonts w:eastAsia="Arial" w:cs="Arial"/>
          <w:sz w:val="22"/>
          <w:szCs w:val="22"/>
        </w:rPr>
        <w:t>Pediatric Assessment: Developmentally appropriate physical examinations performed accurately; normal and abnormal findings differentiated</w:t>
      </w:r>
    </w:p>
    <w:p>
      <w:pPr>
        <w:pStyle w:val="BodyText"/>
        <w:numPr>
          <w:ilvl w:val="0"/>
          <w:numId w:val="1"/>
        </w:numPr>
        <w:spacing w:before="0" w:after="60"/>
        <w:rPr/>
      </w:pPr>
      <w:r>
        <w:rPr>
          <w:rFonts w:eastAsia="Arial" w:cs="Arial"/>
          <w:sz w:val="22"/>
          <w:szCs w:val="22"/>
        </w:rPr>
        <w:t>Medication Safety: Performing weight, dependent dose calculations without errors; Delivering medicines in ways suitable for children's age</w:t>
      </w:r>
    </w:p>
    <w:p>
      <w:pPr>
        <w:pStyle w:val="BodyText"/>
        <w:numPr>
          <w:ilvl w:val="0"/>
          <w:numId w:val="1"/>
        </w:numPr>
        <w:spacing w:before="0" w:after="60"/>
        <w:rPr/>
      </w:pPr>
      <w:r>
        <w:rPr>
          <w:rFonts w:eastAsia="Arial" w:cs="Arial"/>
          <w:sz w:val="22"/>
          <w:szCs w:val="22"/>
        </w:rPr>
        <w:t>Developmental Care: Changing methods of interacting with patients according to their development levels; Figuring out what children and families need to learn</w:t>
      </w:r>
    </w:p>
    <w:p>
      <w:pPr>
        <w:pStyle w:val="BodyText"/>
        <w:numPr>
          <w:ilvl w:val="0"/>
          <w:numId w:val="1"/>
        </w:numPr>
        <w:spacing w:before="0" w:after="60"/>
        <w:rPr/>
      </w:pPr>
      <w:r>
        <w:rPr>
          <w:rFonts w:eastAsia="Arial" w:cs="Arial"/>
          <w:sz w:val="22"/>
          <w:szCs w:val="22"/>
        </w:rPr>
        <w:t>Child Safety: Knowing factors that make an environment unsafe for children, recognizing signs of vulnerability, and being aware of mandatory reporting requirements</w:t>
      </w:r>
    </w:p>
    <w:p>
      <w:pPr>
        <w:pStyle w:val="BodyText"/>
        <w:numPr>
          <w:ilvl w:val="0"/>
          <w:numId w:val="1"/>
        </w:numPr>
        <w:spacing w:before="0" w:after="60"/>
        <w:rPr/>
      </w:pPr>
      <w:r>
        <w:rPr>
          <w:rFonts w:eastAsia="Arial" w:cs="Arial"/>
          <w:sz w:val="22"/>
          <w:szCs w:val="22"/>
        </w:rPr>
        <w:t>Family Education: Providing verbal and written discharge instructions and other teaching materials that take into account family literacy level and child's developmental stage</w:t>
      </w:r>
    </w:p>
    <w:p>
      <w:pPr>
        <w:pStyle w:val="ListParagraph"/>
        <w:numPr>
          <w:ilvl w:val="0"/>
          <w:numId w:val="1"/>
        </w:numPr>
        <w:spacing w:before="0" w:after="60"/>
        <w:rPr/>
      </w:pPr>
      <w:r>
        <w:rPr>
          <w:rFonts w:eastAsia="Arial" w:cs="Arial"/>
          <w:sz w:val="22"/>
          <w:szCs w:val="22"/>
        </w:rPr>
        <w:t>Cultural Competency: Cultural sensitivity demonstrated in interactions with families from diverse backgrounds</w:t>
      </w:r>
    </w:p>
    <w:p>
      <w:pPr>
        <w:pStyle w:val="Normal"/>
        <w:spacing w:before="0" w:after="80"/>
        <w:rPr/>
      </w:pPr>
      <w:r>
        <w:rPr>
          <w:rFonts w:eastAsia="Arial" w:cs="Arial"/>
          <w:b/>
          <w:bCs/>
          <w:sz w:val="22"/>
          <w:szCs w:val="22"/>
        </w:rPr>
        <w:t>Faculty Midterm Note: Well-prepared in pediatric clinical skills; demonstrates eagerness to learn and accepts suggestions well.</w:t>
      </w:r>
    </w:p>
    <w:p>
      <w:pPr>
        <w:pStyle w:val="Normal"/>
        <w:spacing w:before="0" w:after="80"/>
        <w:rPr/>
      </w:pPr>
      <w:r>
        <w:rPr>
          <w:rFonts w:eastAsia="Arial" w:cs="Arial"/>
          <w:b w:val="false"/>
          <w:bCs w:val="false"/>
          <w:sz w:val="22"/>
          <w:szCs w:val="22"/>
        </w:rPr>
        <w:t>Faculty Final Note: Strong therapeutic presence with children; exhibits empathy, patience, and warmth in all patient and family interactions.</w:t>
      </w:r>
    </w:p>
    <w:p>
      <w:pPr>
        <w:pStyle w:val="Normal"/>
        <w:spacing w:before="0" w:after="80"/>
        <w:rPr/>
      </w:pPr>
      <w:r>
        <w:rPr>
          <w:rFonts w:eastAsia="Arial" w:cs="Arial"/>
          <w:b w:val="false"/>
          <w:bCs w:val="false"/>
          <w:sz w:val="22"/>
          <w:szCs w:val="22"/>
        </w:rPr>
        <w:t>Student Final Reflection: Developed critical clinical thinking and communication skills; gained confidence in applying pediatric theory to actual patient care.</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NUR 2410 — Leadership &amp; Synthesis: Laboratory Competency Summary</w:t>
      </w:r>
    </w:p>
    <w:p>
      <w:pPr>
        <w:pStyle w:val="Normal"/>
        <w:spacing w:before="240" w:after="100"/>
        <w:rPr/>
      </w:pPr>
      <w:r>
        <w:rPr>
          <w:rFonts w:eastAsia="Arial" w:cs="Arial"/>
          <w:b/>
          <w:bCs/>
          <w:color w:val="2E75B6"/>
          <w:sz w:val="26"/>
          <w:szCs w:val="26"/>
        </w:rPr>
        <w:t>Evaluation Outcome: Pass — All EPSLOs Satisfactory</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The Leadership and Synthesis laboratory evaluations measured integrative clinical competencies along with leadership, delegation, and interprofessional skills. At the final evaluation point, the student demonstrated a high level of competence in all the domains that were examined:</w:t>
      </w:r>
    </w:p>
    <w:p>
      <w:pPr>
        <w:pStyle w:val="BodyText"/>
        <w:numPr>
          <w:ilvl w:val="0"/>
          <w:numId w:val="1"/>
        </w:numPr>
        <w:spacing w:before="0" w:after="60"/>
        <w:rPr/>
      </w:pPr>
      <w:r>
        <w:rPr>
          <w:rFonts w:eastAsia="Arial" w:cs="Arial"/>
          <w:sz w:val="22"/>
          <w:szCs w:val="22"/>
        </w:rPr>
        <w:t>Clinical Assessment: Carrying out an overall examination of the patient through detailed physical, psychosocial and safety components</w:t>
      </w:r>
    </w:p>
    <w:p>
      <w:pPr>
        <w:pStyle w:val="BodyText"/>
        <w:numPr>
          <w:ilvl w:val="0"/>
          <w:numId w:val="1"/>
        </w:numPr>
        <w:spacing w:before="0" w:after="60"/>
        <w:rPr/>
      </w:pPr>
      <w:r>
        <w:rPr>
          <w:rFonts w:eastAsia="Arial" w:cs="Arial"/>
          <w:sz w:val="22"/>
          <w:szCs w:val="22"/>
        </w:rPr>
        <w:t>Critical Reasoning: Effectively combining complex patient information; Making clinical decisions accurately and efficiently</w:t>
      </w:r>
    </w:p>
    <w:p>
      <w:pPr>
        <w:pStyle w:val="BodyText"/>
        <w:numPr>
          <w:ilvl w:val="0"/>
          <w:numId w:val="1"/>
        </w:numPr>
        <w:spacing w:before="0" w:after="60"/>
        <w:rPr/>
      </w:pPr>
      <w:r>
        <w:rPr>
          <w:rFonts w:eastAsia="Arial" w:cs="Arial"/>
          <w:sz w:val="22"/>
          <w:szCs w:val="22"/>
        </w:rPr>
        <w:t>Medication Management: Completing all medication processes including analysis calculation delivery, and documentation</w:t>
      </w:r>
    </w:p>
    <w:p>
      <w:pPr>
        <w:pStyle w:val="BodyText"/>
        <w:numPr>
          <w:ilvl w:val="0"/>
          <w:numId w:val="1"/>
        </w:numPr>
        <w:spacing w:before="0" w:after="60"/>
        <w:rPr/>
      </w:pPr>
      <w:r>
        <w:rPr>
          <w:rFonts w:eastAsia="Arial" w:cs="Arial"/>
          <w:sz w:val="22"/>
          <w:szCs w:val="22"/>
        </w:rPr>
        <w:t>Delegation: Appropriately applying the delegation process; Assigning tasks according to patient needs and staff competencies</w:t>
      </w:r>
    </w:p>
    <w:p>
      <w:pPr>
        <w:pStyle w:val="BodyText"/>
        <w:numPr>
          <w:ilvl w:val="0"/>
          <w:numId w:val="1"/>
        </w:numPr>
        <w:spacing w:before="0" w:after="60"/>
        <w:rPr/>
      </w:pPr>
      <w:r>
        <w:rPr>
          <w:rFonts w:eastAsia="Arial" w:cs="Arial"/>
          <w:sz w:val="22"/>
          <w:szCs w:val="22"/>
        </w:rPr>
        <w:t>Care Planning: Creating and implementing individualized nursing care plans based on SMART goals</w:t>
      </w:r>
    </w:p>
    <w:p>
      <w:pPr>
        <w:pStyle w:val="BodyText"/>
        <w:numPr>
          <w:ilvl w:val="0"/>
          <w:numId w:val="1"/>
        </w:numPr>
        <w:spacing w:before="0" w:after="60"/>
        <w:rPr/>
      </w:pPr>
      <w:r>
        <w:rPr>
          <w:rFonts w:eastAsia="Arial" w:cs="Arial"/>
          <w:sz w:val="22"/>
          <w:szCs w:val="22"/>
        </w:rPr>
        <w:t>Interprofessional Communication: Using the SBAR method effectively; Quickly communicating any change in patient condition</w:t>
      </w:r>
    </w:p>
    <w:p>
      <w:pPr>
        <w:pStyle w:val="BodyText"/>
        <w:numPr>
          <w:ilvl w:val="0"/>
          <w:numId w:val="1"/>
        </w:numPr>
        <w:spacing w:before="0" w:after="60"/>
        <w:rPr>
          <w:rFonts w:ascii="Arial" w:hAnsi="Arial" w:eastAsia="Arial" w:cs="Arial"/>
          <w:sz w:val="22"/>
          <w:szCs w:val="22"/>
        </w:rPr>
      </w:pPr>
      <w:r>
        <w:rPr>
          <w:rFonts w:eastAsia="Arial" w:cs="Arial"/>
          <w:sz w:val="22"/>
          <w:szCs w:val="22"/>
        </w:rPr>
        <w:t>Leadership: Showing leadership skills in clinical supervision, quality improvement, and team coordination</w:t>
      </w:r>
    </w:p>
    <w:p>
      <w:pPr>
        <w:pStyle w:val="Normal"/>
        <w:spacing w:before="0" w:after="80"/>
        <w:rPr/>
      </w:pPr>
      <w:r>
        <w:rPr>
          <w:rFonts w:eastAsia="Arial" w:cs="Arial"/>
          <w:b/>
          <w:bCs/>
          <w:sz w:val="22"/>
          <w:szCs w:val="22"/>
        </w:rPr>
        <w:t>Faculty Midterm Note: Demonstrates appropriate clinical skills; needs to continue developing confidence when prioritizing for patients with complex needs.</w:t>
      </w:r>
    </w:p>
    <w:p>
      <w:pPr>
        <w:pStyle w:val="Normal"/>
        <w:spacing w:before="0" w:after="80"/>
        <w:rPr/>
      </w:pPr>
      <w:r>
        <w:rPr>
          <w:rFonts w:eastAsia="Arial" w:cs="Arial"/>
          <w:b w:val="false"/>
          <w:bCs w:val="false"/>
          <w:sz w:val="22"/>
          <w:szCs w:val="22"/>
        </w:rPr>
        <w:t>Faculty Final Note: Demonstrably responsible professional accountability; develops professional confidence continuously throughout clinical settings.</w:t>
      </w:r>
    </w:p>
    <w:p>
      <w:pPr>
        <w:pStyle w:val="Normal"/>
        <w:spacing w:before="0" w:after="80"/>
        <w:rPr/>
      </w:pPr>
      <w:r>
        <w:rPr>
          <w:rFonts w:eastAsia="Arial" w:cs="Arial"/>
          <w:b w:val="false"/>
          <w:bCs w:val="false"/>
          <w:sz w:val="22"/>
          <w:szCs w:val="22"/>
        </w:rPr>
        <w:t>Student Final Reflection: Developed effective delegation skills and communication abilities that will be foundational in my nursing career.</w:t>
      </w:r>
    </w:p>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Cumulative Competency Summary</w:t>
      </w:r>
    </w:p>
    <w:tbl>
      <w:tblPr>
        <w:tblW w:w="9360" w:type="dxa"/>
        <w:jc w:val="start"/>
        <w:tblInd w:w="0" w:type="dxa"/>
        <w:tblLayout w:type="fixed"/>
        <w:tblCellMar>
          <w:top w:w="80" w:type="dxa"/>
          <w:start w:w="120" w:type="dxa"/>
          <w:bottom w:w="80" w:type="dxa"/>
          <w:end w:w="120" w:type="dxa"/>
        </w:tblCellMar>
      </w:tblPr>
      <w:tblGrid>
        <w:gridCol w:w="3498"/>
        <w:gridCol w:w="1800"/>
        <w:gridCol w:w="1800"/>
        <w:gridCol w:w="1180"/>
        <w:gridCol w:w="1082"/>
      </w:tblGrid>
      <w:tr>
        <w:trPr/>
        <w:tc>
          <w:tcPr>
            <w:tcW w:w="3498" w:type="dxa"/>
            <w:tcBorders>
              <w:top w:val="single" w:sz="2" w:space="0" w:color="2E75B6"/>
              <w:start w:val="single" w:sz="2" w:space="0" w:color="CCCCCC"/>
              <w:bottom w:val="single" w:sz="2" w:space="0" w:color="2E75B6"/>
              <w:end w:val="single" w:sz="2" w:space="0" w:color="CCCCCC"/>
            </w:tcBorders>
            <w:shd w:fill="1F4E79" w:val="clear"/>
          </w:tcPr>
          <w:p>
            <w:pPr>
              <w:pStyle w:val="Normal"/>
              <w:rPr/>
            </w:pPr>
            <w:r>
              <w:rPr>
                <w:rFonts w:eastAsia="Arial" w:cs="Arial"/>
                <w:b/>
                <w:bCs/>
                <w:color w:val="FFFFFF"/>
                <w:sz w:val="22"/>
                <w:szCs w:val="22"/>
              </w:rPr>
              <w:t>Course</w:t>
            </w:r>
          </w:p>
        </w:tc>
        <w:tc>
          <w:tcPr>
            <w:tcW w:w="1800" w:type="dxa"/>
            <w:tcBorders>
              <w:top w:val="single" w:sz="2" w:space="0" w:color="2E75B6"/>
              <w:start w:val="single" w:sz="2" w:space="0" w:color="CCCCCC"/>
              <w:bottom w:val="single" w:sz="2" w:space="0" w:color="2E75B6"/>
              <w:end w:val="single" w:sz="2" w:space="0" w:color="CCCCCC"/>
            </w:tcBorders>
            <w:shd w:fill="1F4E79" w:val="clear"/>
          </w:tcPr>
          <w:p>
            <w:pPr>
              <w:pStyle w:val="Normal"/>
              <w:rPr/>
            </w:pPr>
            <w:r>
              <w:rPr>
                <w:rFonts w:eastAsia="Arial" w:cs="Arial"/>
                <w:b/>
                <w:bCs/>
                <w:color w:val="FFFFFF"/>
                <w:sz w:val="22"/>
                <w:szCs w:val="22"/>
              </w:rPr>
              <w:t>Midterm</w:t>
            </w:r>
          </w:p>
        </w:tc>
        <w:tc>
          <w:tcPr>
            <w:tcW w:w="1800" w:type="dxa"/>
            <w:tcBorders>
              <w:top w:val="single" w:sz="2" w:space="0" w:color="2E75B6"/>
              <w:start w:val="single" w:sz="2" w:space="0" w:color="CCCCCC"/>
              <w:bottom w:val="single" w:sz="2" w:space="0" w:color="2E75B6"/>
              <w:end w:val="single" w:sz="2" w:space="0" w:color="CCCCCC"/>
            </w:tcBorders>
            <w:shd w:fill="1F4E79" w:val="clear"/>
          </w:tcPr>
          <w:p>
            <w:pPr>
              <w:pStyle w:val="Normal"/>
              <w:rPr/>
            </w:pPr>
            <w:r>
              <w:rPr>
                <w:rFonts w:eastAsia="Arial" w:cs="Arial"/>
                <w:b/>
                <w:bCs/>
                <w:color w:val="FFFFFF"/>
                <w:sz w:val="22"/>
                <w:szCs w:val="22"/>
              </w:rPr>
              <w:t>Final</w:t>
            </w:r>
          </w:p>
        </w:tc>
        <w:tc>
          <w:tcPr>
            <w:tcW w:w="1180" w:type="dxa"/>
            <w:tcBorders>
              <w:top w:val="single" w:sz="2" w:space="0" w:color="2E75B6"/>
              <w:start w:val="single" w:sz="2" w:space="0" w:color="CCCCCC"/>
              <w:bottom w:val="single" w:sz="2" w:space="0" w:color="2E75B6"/>
              <w:end w:val="single" w:sz="2" w:space="0" w:color="CCCCCC"/>
            </w:tcBorders>
            <w:shd w:fill="1F4E79" w:val="clear"/>
          </w:tcPr>
          <w:p>
            <w:pPr>
              <w:pStyle w:val="Normal"/>
              <w:rPr/>
            </w:pPr>
            <w:r>
              <w:rPr>
                <w:rFonts w:eastAsia="Arial" w:cs="Arial"/>
                <w:b/>
                <w:bCs/>
                <w:color w:val="FFFFFF"/>
                <w:sz w:val="22"/>
                <w:szCs w:val="22"/>
              </w:rPr>
              <w:t>Total S</w:t>
            </w:r>
          </w:p>
        </w:tc>
        <w:tc>
          <w:tcPr>
            <w:tcW w:w="1082" w:type="dxa"/>
            <w:tcBorders>
              <w:top w:val="single" w:sz="2" w:space="0" w:color="2E75B6"/>
              <w:start w:val="single" w:sz="2" w:space="0" w:color="CCCCCC"/>
              <w:bottom w:val="single" w:sz="2" w:space="0" w:color="2E75B6"/>
              <w:end w:val="single" w:sz="2" w:space="0" w:color="CCCCCC"/>
            </w:tcBorders>
            <w:shd w:fill="1F4E79" w:val="clear"/>
          </w:tcPr>
          <w:p>
            <w:pPr>
              <w:pStyle w:val="Normal"/>
              <w:rPr/>
            </w:pPr>
            <w:r>
              <w:rPr>
                <w:rFonts w:eastAsia="Arial" w:cs="Arial"/>
                <w:b/>
                <w:bCs/>
                <w:color w:val="FFFFFF"/>
                <w:sz w:val="22"/>
                <w:szCs w:val="22"/>
              </w:rPr>
              <w:t>Outcome</w:t>
            </w:r>
          </w:p>
        </w:tc>
      </w:tr>
      <w:tr>
        <w:trPr/>
        <w:tc>
          <w:tcPr>
            <w:tcW w:w="3498"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NUR 2300 – Med-Surg II</w:t>
            </w:r>
          </w:p>
        </w:tc>
        <w:tc>
          <w:tcPr>
            <w:tcW w:w="180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Pass</w:t>
            </w:r>
          </w:p>
        </w:tc>
        <w:tc>
          <w:tcPr>
            <w:tcW w:w="180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Pass</w:t>
            </w:r>
          </w:p>
        </w:tc>
        <w:tc>
          <w:tcPr>
            <w:tcW w:w="118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47/53</w:t>
            </w:r>
          </w:p>
        </w:tc>
        <w:tc>
          <w:tcPr>
            <w:tcW w:w="1082"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bCs/>
                <w:color w:val="1F7A1F"/>
                <w:sz w:val="22"/>
                <w:szCs w:val="22"/>
              </w:rPr>
              <w:t>PASS</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NUR 2310 – Maternity &amp; Newborn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Pass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Pass</w:t>
            </w:r>
          </w:p>
        </w:tc>
        <w:tc>
          <w:tcPr>
            <w:tcW w:w="11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All S</w:t>
            </w:r>
          </w:p>
        </w:tc>
        <w:tc>
          <w:tcPr>
            <w:tcW w:w="10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7A1F"/>
                <w:sz w:val="22"/>
                <w:szCs w:val="22"/>
              </w:rPr>
              <w:t>PASS</w:t>
            </w:r>
          </w:p>
        </w:tc>
      </w:tr>
      <w:tr>
        <w:trPr/>
        <w:tc>
          <w:tcPr>
            <w:tcW w:w="3498"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NUR 2320 – Pediatrics</w:t>
            </w:r>
          </w:p>
        </w:tc>
        <w:tc>
          <w:tcPr>
            <w:tcW w:w="180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Pass</w:t>
            </w:r>
          </w:p>
        </w:tc>
        <w:tc>
          <w:tcPr>
            <w:tcW w:w="180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Pass</w:t>
            </w:r>
          </w:p>
        </w:tc>
        <w:tc>
          <w:tcPr>
            <w:tcW w:w="1180"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val="false"/>
                <w:bCs w:val="false"/>
                <w:color w:val="000000"/>
                <w:sz w:val="22"/>
                <w:szCs w:val="22"/>
              </w:rPr>
              <w:t>All S</w:t>
            </w:r>
          </w:p>
        </w:tc>
        <w:tc>
          <w:tcPr>
            <w:tcW w:w="1082" w:type="dxa"/>
            <w:tcBorders>
              <w:top w:val="single" w:sz="2" w:space="0" w:color="CCCCCC"/>
              <w:start w:val="single" w:sz="2" w:space="0" w:color="CCCCCC"/>
              <w:bottom w:val="single" w:sz="2" w:space="0" w:color="CCCCCC"/>
              <w:end w:val="single" w:sz="2" w:space="0" w:color="CCCCCC"/>
            </w:tcBorders>
            <w:shd w:fill="F5F9FD" w:val="clear"/>
          </w:tcPr>
          <w:p>
            <w:pPr>
              <w:pStyle w:val="Normal"/>
              <w:rPr/>
            </w:pPr>
            <w:r>
              <w:rPr>
                <w:rFonts w:eastAsia="Arial" w:cs="Arial"/>
                <w:b/>
                <w:bCs/>
                <w:color w:val="1F7A1F"/>
                <w:sz w:val="22"/>
                <w:szCs w:val="22"/>
              </w:rPr>
              <w:t>PASS</w:t>
            </w:r>
          </w:p>
        </w:tc>
      </w:tr>
      <w:tr>
        <w:trPr/>
        <w:tc>
          <w:tcPr>
            <w:tcW w:w="34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NUR 2410 – Leadership &amp; Synthesis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Pass</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Pass</w:t>
            </w:r>
          </w:p>
        </w:tc>
        <w:tc>
          <w:tcPr>
            <w:tcW w:w="11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All S</w:t>
            </w:r>
          </w:p>
        </w:tc>
        <w:tc>
          <w:tcPr>
            <w:tcW w:w="108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F7A1F"/>
                <w:sz w:val="22"/>
                <w:szCs w:val="22"/>
              </w:rPr>
              <w:t>PASS</w:t>
            </w:r>
          </w:p>
        </w:tc>
      </w:tr>
    </w:tbl>
    <w:p>
      <w:pPr>
        <w:pStyle w:val="Normal"/>
        <w:spacing w:before="0" w:after="100"/>
        <w:rPr/>
      </w:pPr>
      <w:r>
        <w:rPr/>
      </w:r>
    </w:p>
    <w:p>
      <w:pPr>
        <w:pStyle w:val="Normal"/>
        <w:pBdr>
          <w:bottom w:val="single" w:sz="8" w:space="1" w:color="2E75B6"/>
        </w:pBdr>
        <w:spacing w:before="0" w:after="200"/>
        <w:jc w:val="center"/>
        <w:rPr/>
      </w:pPr>
      <w:r>
        <w:rPr>
          <w:rFonts w:eastAsia="Arial" w:cs="Arial"/>
          <w:b/>
          <w:bCs/>
          <w:color w:val="1F4E79"/>
          <w:sz w:val="32"/>
          <w:szCs w:val="32"/>
        </w:rPr>
        <w:t>Conclusion</w:t>
      </w:r>
    </w:p>
    <w:p>
      <w:pPr>
        <w:pStyle w:val="BodyText"/>
        <w:spacing w:before="0" w:after="80"/>
        <w:rPr>
          <w:rFonts w:ascii="Arial" w:hAnsi="Arial" w:eastAsia="Arial" w:cs="Arial"/>
          <w:b w:val="false"/>
          <w:bCs w:val="false"/>
          <w:sz w:val="22"/>
          <w:szCs w:val="22"/>
        </w:rPr>
      </w:pPr>
      <w:r>
        <w:rPr>
          <w:rFonts w:eastAsia="Arial" w:cs="Arial"/>
          <w:b w:val="false"/>
          <w:bCs w:val="false"/>
          <w:sz w:val="22"/>
          <w:szCs w:val="22"/>
        </w:rPr>
        <w:t>This laboratory competency evaluation record clearly shows that the student has consistently met the requirements for passing performance in all nursing laboratory competencies. The student demonstrates mastery and confidence in clinical skill execution by having satisfactory or better ratings in all the areas evaluated, and no unsatisfactory scores have been recorded. The student's readiness to be promoted in the nursing program and to start the professional practice is supported by the continuous improvement observed in the evaluations.</w:t>
      </w:r>
    </w:p>
    <w:p>
      <w:pPr>
        <w:pStyle w:val="BodyText"/>
        <w:spacing w:before="0" w:after="0"/>
        <w:ind w:hanging="0" w:start="0" w:end="0"/>
        <w:rPr/>
      </w:pPr>
      <w:r>
        <w:rPr/>
        <w:t xml:space="preserve">Please note that the four courses cited in this document (NUR 2300, NUR 2310, NUR 2320, and NUR 2410) represent a sample extract of the student's clinical training and are not an exhaustive list of all completed coursework or laboratory evaluations. </w:t>
      </w:r>
    </w:p>
    <w:p>
      <w:pPr>
        <w:pStyle w:val="Normal"/>
        <w:spacing w:before="0" w:after="80"/>
        <w:rPr>
          <w:rFonts w:ascii="Arial" w:hAnsi="Arial" w:eastAsia="Arial" w:cs="Arial"/>
          <w:b w:val="false"/>
          <w:bCs w:val="false"/>
          <w:sz w:val="22"/>
          <w:szCs w:val="22"/>
        </w:rPr>
      </w:pPr>
      <w:r>
        <w:rPr>
          <w:rFonts w:eastAsia="Arial" w:cs="Arial"/>
          <w:b w:val="false"/>
          <w:bCs w:val="false"/>
          <w:sz w:val="22"/>
          <w:szCs w:val="22"/>
        </w:rPr>
        <w:t>This document is verifiable by contacting the issuing institution directly:</w:t>
      </w:r>
    </w:p>
    <w:p>
      <w:pPr>
        <w:pStyle w:val="Normal"/>
        <w:spacing w:before="0" w:after="80"/>
        <w:rPr/>
      </w:pPr>
      <w:r>
        <w:rPr>
          <w:rStyle w:val="Strong"/>
        </w:rPr>
        <w:t>Activa Training Center</w:t>
      </w:r>
      <w:r>
        <w:rPr/>
        <w:t xml:space="preserve"> 📞 Phone:</w:t>
      </w:r>
      <w:r>
        <w:rPr>
          <w:color w:val="2A6099"/>
        </w:rPr>
        <w:t xml:space="preserve"> </w:t>
      </w:r>
      <w:hyperlink r:id="rId2">
        <w:r>
          <w:rPr>
            <w:rStyle w:val="Hyperlink"/>
            <w:strike w:val="false"/>
            <w:dstrike w:val="false"/>
            <w:color w:val="2A6099"/>
            <w:u w:val="none"/>
            <w:effect w:val="none"/>
          </w:rPr>
          <w:t>(786) 615-3790</w:t>
        </w:r>
      </w:hyperlink>
      <w:r>
        <w:rPr>
          <w:color w:val="2A6099"/>
        </w:rPr>
        <w:t xml:space="preserve"> </w:t>
      </w:r>
      <w:r>
        <w:rPr/>
        <w:t xml:space="preserve"> 🌐 Website: </w:t>
      </w:r>
      <w:hyperlink r:id="rId3">
        <w:r>
          <w:rPr>
            <w:rStyle w:val="Hyperlink"/>
          </w:rPr>
          <w:t>www.activatrainingcenter.com</w:t>
        </w:r>
      </w:hyperlink>
      <w:r>
        <w:rPr/>
        <w:t xml:space="preserve"> 📧 Email: </w:t>
      </w:r>
      <w:hyperlink r:id="rId4">
        <w:r>
          <w:rPr>
            <w:rStyle w:val="Hyperlink"/>
          </w:rPr>
          <w:t>info@activatrainingcenter.com</w:t>
        </w:r>
      </w:hyperlink>
      <w:r>
        <w:rPr/>
        <w:t xml:space="preserve"> 📍 Address: </w:t>
      </w:r>
      <w:r>
        <w:rPr>
          <w:rFonts w:ascii="Roboto;Arial;sans-serif" w:hAnsi="Roboto;Arial;sans-serif"/>
          <w:i w:val="false"/>
          <w:caps w:val="false"/>
          <w:smallCaps w:val="false"/>
          <w:color w:val="2A6099"/>
          <w:spacing w:val="0"/>
          <w:sz w:val="21"/>
        </w:rPr>
        <w:t>9580 Bird Rd suite d, Miami, FL 33165</w:t>
      </w:r>
      <w:r>
        <w:rPr>
          <w:color w:val="2A6099"/>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gs_ssp=eJwFwTEOgCAMAMC4mrg6szhTFJXyBH9RKBJi0oEQwvO9mxedtTEZ2gcgHSa_wXCOMaBlx8niQa-HcRORtcjIhq9zD89KsZVOqlUqUiSrmKSl-gN7fhhA&amp;q=activa+training+center&amp;rlz=1C1RXQR_enUS1185US1185&amp;oq=activa+train&amp;gs_lcrp=EgZjaHJvbWUqGwgBEC4YJxivARjHARiSAxjJAxiABBiKBRiOBTIPCAAQIxgnGOMCGIAEGIoFMhsIARAuGCcYrwEYxwEYkgMYyQMYgAQYigUYjgUyBggCEEUYOTIGCAMQRRg7MgcIBBAAGIAEMgYIBRBFGDwyBggGEEUYPDIGCAcQRRg80gEIMzc0NmowajeoAgCwAgA&amp;sourceid=chrome&amp;ie=UTF-8" TargetMode="External"/><Relationship Id="rId3" Type="http://schemas.openxmlformats.org/officeDocument/2006/relationships/hyperlink" Target="http://www.activatrainingcenter.com/" TargetMode="External"/><Relationship Id="rId4" Type="http://schemas.openxmlformats.org/officeDocument/2006/relationships/hyperlink" Target="mailto:info@activatrainingcenter.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LibreOffice/25.8.3.2$Windows_X86_64 LibreOffice_project/8ca8d55c161d602844f5428fa4b58097424e324e</Application>
  <AppVersion>15.0000</AppVersion>
  <Pages>4</Pages>
  <Words>1088</Words>
  <Characters>7089</Characters>
  <CharactersWithSpaces>8079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2026-03-10T12:22:46Z</dcterms:created>
  <dc:creator>Un-named</dc:creator>
  <dc:description/>
  <dc:language>en-US</dc:language>
  <cp:lastModifiedBy/>
  <dcterms:modified xsi:type="dcterms:W3CDTF">2026-03-10T09:05:01Z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