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pPr>
      <w:r>
        <w:rPr>
          <w:rFonts w:eastAsia="Arial" w:cs="Arial"/>
          <w:b/>
          <w:bCs/>
          <w:color w:val="2E75B6"/>
          <w:sz w:val="44"/>
          <w:szCs w:val="44"/>
        </w:rPr>
        <w:t>Nursing Skills Checklist</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Student Name</w:t>
            </w:r>
          </w:p>
        </w:tc>
        <w:tc>
          <w:tcPr>
            <w:tcW w:w="6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 xml:space="preserve">Andy Diaz </w:t>
            </w:r>
            <w:r>
              <w:rPr>
                <w:rFonts w:eastAsia="Arial" w:cs="Arial"/>
                <w:sz w:val="22"/>
                <w:szCs w:val="22"/>
              </w:rPr>
              <w:t>Gomez</w:t>
            </w:r>
          </w:p>
        </w:tc>
      </w:tr>
      <w:tr>
        <w:trPr/>
        <w:tc>
          <w:tcPr>
            <w:tcW w:w="29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Program</w:t>
            </w:r>
          </w:p>
        </w:tc>
        <w:tc>
          <w:tcPr>
            <w:tcW w:w="6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 xml:space="preserve">Professional </w:t>
            </w:r>
            <w:r>
              <w:rPr>
                <w:rFonts w:eastAsia="Arial" w:cs="Arial"/>
                <w:sz w:val="22"/>
                <w:szCs w:val="22"/>
              </w:rPr>
              <w:t xml:space="preserve">Nursing, </w:t>
            </w:r>
            <w:r>
              <w:rPr>
                <w:rFonts w:eastAsia="Arial" w:cs="Arial"/>
                <w:sz w:val="22"/>
                <w:szCs w:val="22"/>
              </w:rPr>
              <w:t>AD</w:t>
            </w:r>
            <w:r>
              <w:rPr>
                <w:rFonts w:eastAsia="Arial" w:cs="Arial"/>
                <w:sz w:val="22"/>
                <w:szCs w:val="22"/>
              </w:rPr>
              <w:t>N</w:t>
            </w:r>
          </w:p>
        </w:tc>
      </w:tr>
      <w:tr>
        <w:trPr/>
        <w:tc>
          <w:tcPr>
            <w:tcW w:w="29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Academic Year</w:t>
            </w:r>
          </w:p>
        </w:tc>
        <w:tc>
          <w:tcPr>
            <w:tcW w:w="6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202</w:t>
            </w:r>
            <w:r>
              <w:rPr>
                <w:rFonts w:eastAsia="Arial" w:cs="Arial"/>
                <w:sz w:val="22"/>
                <w:szCs w:val="22"/>
              </w:rPr>
              <w:t>4</w:t>
            </w:r>
            <w:r>
              <w:rPr>
                <w:rFonts w:eastAsia="Arial" w:cs="Arial"/>
                <w:sz w:val="22"/>
                <w:szCs w:val="22"/>
              </w:rPr>
              <w:t>–2026</w:t>
            </w:r>
          </w:p>
        </w:tc>
      </w:tr>
      <w:tr>
        <w:trPr/>
        <w:tc>
          <w:tcPr>
            <w:tcW w:w="29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Overall Assessment</w:t>
            </w:r>
          </w:p>
        </w:tc>
        <w:tc>
          <w:tcPr>
            <w:tcW w:w="6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Mastery of skills demonstrated; thorough and reflective documentation</w:t>
            </w:r>
          </w:p>
        </w:tc>
      </w:tr>
    </w:tbl>
    <w:p>
      <w:pPr>
        <w:pStyle w:val="Normal"/>
        <w:spacing w:before="0" w:after="200"/>
        <w:rPr/>
      </w:pPr>
      <w:r>
        <w:rPr/>
      </w:r>
    </w:p>
    <w:p>
      <w:pPr>
        <w:pStyle w:val="Normal"/>
        <w:pBdr>
          <w:bottom w:val="single" w:sz="8" w:space="1" w:color="2E75B6"/>
        </w:pBdr>
        <w:spacing w:before="0" w:after="200"/>
        <w:jc w:val="center"/>
        <w:rPr/>
      </w:pPr>
      <w:r>
        <w:rPr>
          <w:rFonts w:eastAsia="Arial" w:cs="Arial"/>
          <w:b/>
          <w:bCs/>
          <w:color w:val="1F4E79"/>
          <w:sz w:val="32"/>
          <w:szCs w:val="32"/>
        </w:rPr>
        <w:t>Overview</w:t>
      </w:r>
    </w:p>
    <w:p>
      <w:pPr>
        <w:pStyle w:val="Normal"/>
        <w:spacing w:before="0" w:after="80"/>
        <w:rPr/>
      </w:pPr>
      <w:r>
        <w:rPr>
          <w:rFonts w:eastAsia="Arial" w:cs="Arial"/>
          <w:b w:val="false"/>
          <w:bCs w:val="false"/>
          <w:sz w:val="22"/>
          <w:szCs w:val="22"/>
        </w:rPr>
        <w:t>This list of skills records the clinical nursing skills shown by the student over the year in Med, Surgical II, Maternity &amp; Newborn, Pediatrics, and Nursing Leadership &amp; Synthesis courses, as well as other settings. All marks indicate that the student performed at an acceptable or excellent level. There was a continual display of development and excellent achievement in all clinical competency areas.</w:t>
      </w:r>
    </w:p>
    <w:p>
      <w:pPr>
        <w:pStyle w:val="Normal"/>
        <w:pBdr>
          <w:bottom w:val="single" w:sz="8" w:space="1" w:color="2E75B6"/>
        </w:pBdr>
        <w:spacing w:before="0" w:after="200"/>
        <w:jc w:val="center"/>
        <w:rPr/>
      </w:pPr>
      <w:r>
        <w:rPr>
          <w:rFonts w:eastAsia="Arial" w:cs="Arial"/>
          <w:b/>
          <w:bCs/>
          <w:color w:val="1F4E79"/>
          <w:sz w:val="32"/>
          <w:szCs w:val="32"/>
        </w:rPr>
        <w:t>Core Competency Areas Demonstrated</w:t>
      </w:r>
    </w:p>
    <w:p>
      <w:pPr>
        <w:pStyle w:val="Normal"/>
        <w:spacing w:before="240" w:after="100"/>
        <w:rPr/>
      </w:pPr>
      <w:r>
        <w:rPr>
          <w:rFonts w:eastAsia="Arial" w:cs="Arial"/>
          <w:b/>
          <w:bCs/>
          <w:color w:val="2E75B6"/>
          <w:sz w:val="26"/>
          <w:szCs w:val="26"/>
        </w:rPr>
        <w:t>1. Patient Assessment &amp; Safety</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Consistently thorough and accurate assessments of physical psychosocial cultural, and spiritual dimensions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Vital signs measured using correct methods; abnormalities identified and communicated without delay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Always implementing National Patient Safety Goals (using two patient identifiers, hand hygiene, fall prevention)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Ensuring a safe physical environment; properly documenting and informing management of any incidents </w:t>
      </w:r>
    </w:p>
    <w:p>
      <w:pPr>
        <w:pStyle w:val="Normal"/>
        <w:spacing w:before="240" w:after="100"/>
        <w:rPr/>
      </w:pPr>
      <w:r>
        <w:rPr>
          <w:rFonts w:eastAsia="Arial" w:cs="Arial"/>
          <w:b/>
          <w:bCs/>
          <w:color w:val="2E75B6"/>
          <w:sz w:val="26"/>
          <w:szCs w:val="26"/>
        </w:rPr>
        <w:t>2. Clinical Reasoning &amp; Problem Solving</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Provided documented evidence of patient prioritization based on Maslow's Hierarchy and structured care planning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Laboratory and diagnostic results well interpreted; aberrant findings effectively conveyed to the care team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Life-threatening conditions forecasted based on patient status; proper escalation shown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Clinical interventions and medication decisions were all supported by evidence, based rationale. </w:t>
      </w:r>
    </w:p>
    <w:p>
      <w:pPr>
        <w:pStyle w:val="Normal"/>
        <w:spacing w:before="240" w:after="100"/>
        <w:rPr/>
      </w:pPr>
      <w:r>
        <w:rPr>
          <w:rFonts w:eastAsia="Arial" w:cs="Arial"/>
          <w:b/>
          <w:bCs/>
          <w:color w:val="2E75B6"/>
          <w:sz w:val="26"/>
          <w:szCs w:val="26"/>
        </w:rPr>
        <w:t>3. Medication Administration</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Safe and consistent medication administration practice includes verifying the right patient drug dose, route, and time. </w:t>
      </w:r>
    </w:p>
    <w:p>
      <w:pPr>
        <w:pStyle w:val="ListParagraph"/>
        <w:numPr>
          <w:ilvl w:val="0"/>
          <w:numId w:val="1"/>
        </w:numPr>
        <w:spacing w:before="0" w:after="60"/>
        <w:rPr>
          <w:rFonts w:ascii="Arial" w:hAnsi="Arial" w:eastAsia="Arial" w:cs="Arial"/>
          <w:sz w:val="22"/>
          <w:szCs w:val="22"/>
        </w:rPr>
      </w:pPr>
      <w:r>
        <w:rPr>
          <w:rFonts w:eastAsia="Arial" w:cs="Arial"/>
          <w:sz w:val="22"/>
          <w:szCs w:val="22"/>
        </w:rPr>
        <w:t>C</w:t>
      </w:r>
      <w:r>
        <w:rPr>
          <w:rFonts w:eastAsia="Arial" w:cs="Arial"/>
          <w:sz w:val="22"/>
          <w:szCs w:val="22"/>
        </w:rPr>
        <w:t>ompletion of medication reconciliation is mandatory at hospital admission, disch</w:t>
      </w:r>
      <w:r>
        <w:rPr>
          <w:rFonts w:eastAsia="Arial" w:cs="Arial" w:ascii="Arial" w:hAnsi="Arial"/>
          <w:color w:val="000000"/>
          <w:sz w:val="22"/>
          <w:szCs w:val="22"/>
        </w:rPr>
        <w:t xml:space="preserve">arge, and care transitions. </w:t>
      </w:r>
    </w:p>
    <w:p>
      <w:pPr>
        <w:pStyle w:val="ListParagraph"/>
        <w:numPr>
          <w:ilvl w:val="0"/>
          <w:numId w:val="1"/>
        </w:numPr>
        <w:spacing w:before="0" w:after="60"/>
        <w:rPr>
          <w:rFonts w:ascii="Arial" w:hAnsi="Arial" w:eastAsia="Arial" w:cs="Arial"/>
          <w:color w:val="000000"/>
          <w:sz w:val="22"/>
          <w:szCs w:val="22"/>
        </w:rPr>
      </w:pPr>
      <w:r>
        <w:rPr>
          <w:rFonts w:eastAsia="Arial" w:cs="Arial" w:ascii="Arial" w:hAnsi="Arial"/>
          <w:color w:val="000000"/>
          <w:sz w:val="22"/>
          <w:szCs w:val="22"/>
        </w:rPr>
        <w:t xml:space="preserve">Effective verbalization of pharmacological knowledge is expected; also, side effects and nursing implications should be discussed. </w:t>
      </w:r>
    </w:p>
    <w:p>
      <w:pPr>
        <w:pStyle w:val="ListParagraph"/>
        <w:numPr>
          <w:ilvl w:val="0"/>
          <w:numId w:val="1"/>
        </w:numPr>
        <w:spacing w:before="0" w:after="60"/>
        <w:rPr>
          <w:rFonts w:ascii="Arial" w:hAnsi="Arial" w:eastAsia="Arial" w:cs="Arial"/>
          <w:color w:val="000000"/>
          <w:sz w:val="22"/>
          <w:szCs w:val="22"/>
        </w:rPr>
      </w:pPr>
      <w:r>
        <w:rPr>
          <w:rFonts w:eastAsia="Arial" w:cs="Arial" w:ascii="Arial" w:hAnsi="Arial"/>
          <w:b w:val="false"/>
          <w:i w:val="false"/>
          <w:caps w:val="false"/>
          <w:smallCaps w:val="false"/>
          <w:color w:val="000000"/>
          <w:spacing w:val="0"/>
          <w:sz w:val="22"/>
          <w:szCs w:val="22"/>
        </w:rPr>
        <w:t>Pediatric weight, based dosing should be calculated accurately followed by safe administration.</w:t>
      </w:r>
      <w:r>
        <w:rPr>
          <w:rFonts w:eastAsia="Arial" w:cs="Arial" w:ascii="Arial" w:hAnsi="Arial"/>
          <w:color w:val="000000"/>
          <w:sz w:val="22"/>
          <w:szCs w:val="22"/>
        </w:rPr>
        <w:t xml:space="preserve"> </w:t>
      </w:r>
    </w:p>
    <w:p>
      <w:pPr>
        <w:pStyle w:val="Normal"/>
        <w:spacing w:before="240" w:after="100"/>
        <w:rPr/>
      </w:pPr>
      <w:r>
        <w:rPr>
          <w:rFonts w:eastAsia="Arial" w:cs="Arial"/>
          <w:b/>
          <w:bCs/>
          <w:color w:val="2E75B6"/>
          <w:sz w:val="26"/>
          <w:szCs w:val="26"/>
        </w:rPr>
        <w:t>4. Technical &amp; Procedural Skills</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Clinical procedures carried out as per the level of knowledge and skill expected at the program year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When interacting with patients, hand hygiene and standard/ transmission, based precautions were maintained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Proper application of ergonomic principles to reduce risk of injury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Accurately accessing and updating the electronic health records; ensuring privacy and confidentiality </w:t>
      </w:r>
    </w:p>
    <w:p>
      <w:pPr>
        <w:pStyle w:val="Normal"/>
        <w:spacing w:before="240" w:after="100"/>
        <w:rPr/>
      </w:pPr>
      <w:r>
        <w:rPr>
          <w:rFonts w:eastAsia="Arial" w:cs="Arial"/>
          <w:b/>
          <w:bCs/>
          <w:color w:val="2E75B6"/>
          <w:sz w:val="26"/>
          <w:szCs w:val="26"/>
        </w:rPr>
        <w:t>5. Care Planning &amp; Documentation</w:t>
      </w:r>
    </w:p>
    <w:p>
      <w:pPr>
        <w:pStyle w:val="ListParagraph"/>
        <w:numPr>
          <w:ilvl w:val="0"/>
          <w:numId w:val="1"/>
        </w:numPr>
        <w:spacing w:before="0" w:after="60"/>
        <w:rPr>
          <w:rFonts w:ascii="Arial" w:hAnsi="Arial" w:eastAsia="Arial" w:cs="Arial"/>
          <w:sz w:val="22"/>
          <w:szCs w:val="22"/>
        </w:rPr>
      </w:pPr>
      <w:r>
        <w:rPr>
          <w:rFonts w:eastAsia="Arial" w:cs="Arial"/>
          <w:sz w:val="22"/>
          <w:szCs w:val="22"/>
        </w:rPr>
        <w:t>P</w:t>
      </w:r>
      <w:r>
        <w:rPr>
          <w:rFonts w:eastAsia="Arial" w:cs="Arial" w:ascii="Arial" w:hAnsi="Arial"/>
          <w:color w:val="000000"/>
          <w:sz w:val="22"/>
          <w:szCs w:val="22"/>
        </w:rPr>
        <w:t xml:space="preserve">ersonalized, family, focused care blueprints created and revised as a result of continuous evaluation. </w:t>
      </w:r>
    </w:p>
    <w:p>
      <w:pPr>
        <w:pStyle w:val="ListParagraph"/>
        <w:numPr>
          <w:ilvl w:val="0"/>
          <w:numId w:val="1"/>
        </w:numPr>
        <w:spacing w:before="0" w:after="60"/>
        <w:rPr>
          <w:rFonts w:ascii="Arial" w:hAnsi="Arial" w:eastAsia="Arial" w:cs="Arial"/>
          <w:color w:val="000000"/>
          <w:sz w:val="22"/>
          <w:szCs w:val="22"/>
        </w:rPr>
      </w:pPr>
      <w:r>
        <w:rPr>
          <w:rFonts w:eastAsia="Arial" w:cs="Arial" w:ascii="Arial" w:hAnsi="Arial"/>
          <w:b w:val="false"/>
          <w:i w:val="false"/>
          <w:caps w:val="false"/>
          <w:smallCaps w:val="false"/>
          <w:color w:val="000000"/>
          <w:spacing w:val="0"/>
          <w:sz w:val="22"/>
          <w:szCs w:val="22"/>
        </w:rPr>
        <w:t>Education on discharge has been given on time; methods were changed according to the patient's health literacy level.</w:t>
      </w:r>
    </w:p>
    <w:p>
      <w:pPr>
        <w:pStyle w:val="ListParagraph"/>
        <w:numPr>
          <w:ilvl w:val="0"/>
          <w:numId w:val="1"/>
        </w:numPr>
        <w:spacing w:before="0" w:after="60"/>
        <w:rPr>
          <w:rFonts w:ascii="Arial" w:hAnsi="Arial" w:eastAsia="Arial" w:cs="Arial"/>
          <w:color w:val="000000"/>
          <w:sz w:val="22"/>
          <w:szCs w:val="22"/>
        </w:rPr>
      </w:pPr>
      <w:r>
        <w:rPr>
          <w:rFonts w:eastAsia="Arial" w:cs="Arial" w:ascii="Arial" w:hAnsi="Arial"/>
          <w:color w:val="000000"/>
          <w:sz w:val="22"/>
          <w:szCs w:val="22"/>
        </w:rPr>
        <w:t xml:space="preserve">Records are complete punctual factual, and show the rationale behind clinical decisions. </w:t>
      </w:r>
    </w:p>
    <w:p>
      <w:pPr>
        <w:pStyle w:val="ListParagraph"/>
        <w:numPr>
          <w:ilvl w:val="0"/>
          <w:numId w:val="1"/>
        </w:numPr>
        <w:spacing w:before="0" w:after="60"/>
        <w:rPr>
          <w:rFonts w:ascii="Arial" w:hAnsi="Arial" w:eastAsia="Arial" w:cs="Arial"/>
          <w:sz w:val="22"/>
          <w:szCs w:val="22"/>
        </w:rPr>
      </w:pPr>
      <w:r>
        <w:rPr>
          <w:rFonts w:eastAsia="Arial" w:cs="Arial" w:ascii="Arial" w:hAnsi="Arial"/>
          <w:color w:val="000000"/>
          <w:sz w:val="22"/>
          <w:szCs w:val="22"/>
        </w:rPr>
        <w:t>Professional growth was supported by though</w:t>
      </w:r>
      <w:r>
        <w:rPr>
          <w:rFonts w:eastAsia="Arial" w:cs="Arial"/>
          <w:sz w:val="22"/>
          <w:szCs w:val="22"/>
        </w:rPr>
        <w:t xml:space="preserve">tful reflection on clinical exposures. </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Faculty Assessment Summary</w:t>
      </w:r>
    </w:p>
    <w:p>
      <w:pPr>
        <w:pStyle w:val="Normal"/>
        <w:spacing w:before="0" w:after="80"/>
        <w:rPr/>
      </w:pPr>
      <w:r>
        <w:rPr>
          <w:rFonts w:eastAsia="Arial" w:cs="Arial"/>
          <w:b w:val="false"/>
          <w:bCs w:val="false"/>
          <w:sz w:val="22"/>
          <w:szCs w:val="22"/>
        </w:rPr>
        <w:t>Faculty evaluations across all clinical courses consistently rated the student as Satisfactory (S) in the vast majority of competency items, with no unsatisfactory scores recorded at final evaluations. Written faculty comments highlight the following strengths:</w:t>
      </w:r>
    </w:p>
    <w:p>
      <w:pPr>
        <w:pStyle w:val="ListParagraph"/>
        <w:numPr>
          <w:ilvl w:val="0"/>
          <w:numId w:val="4"/>
        </w:numPr>
        <w:spacing w:before="0" w:after="60"/>
        <w:rPr/>
      </w:pPr>
      <w:r>
        <w:rPr>
          <w:rFonts w:eastAsia="Arial" w:cs="Arial"/>
          <w:sz w:val="22"/>
          <w:szCs w:val="22"/>
        </w:rPr>
        <w:t>Strong foundational knowledge of nursing principles (NUR 2300 — Med-Surg II)</w:t>
      </w:r>
    </w:p>
    <w:p>
      <w:pPr>
        <w:pStyle w:val="ListParagraph"/>
        <w:numPr>
          <w:ilvl w:val="0"/>
          <w:numId w:val="2"/>
        </w:numPr>
        <w:spacing w:before="0" w:after="60"/>
        <w:rPr/>
      </w:pPr>
      <w:r>
        <w:rPr>
          <w:rFonts w:eastAsia="Arial" w:cs="Arial"/>
          <w:sz w:val="22"/>
          <w:szCs w:val="22"/>
        </w:rPr>
        <w:t>Improved assessment and documentation skills; accepts feedback and incorporates it proactively (NUR 2310 — Maternity)</w:t>
      </w:r>
    </w:p>
    <w:p>
      <w:pPr>
        <w:pStyle w:val="ListParagraph"/>
        <w:numPr>
          <w:ilvl w:val="0"/>
          <w:numId w:val="2"/>
        </w:numPr>
        <w:spacing w:before="0" w:after="60"/>
        <w:rPr/>
      </w:pPr>
      <w:r>
        <w:rPr>
          <w:rFonts w:eastAsia="Arial" w:cs="Arial"/>
          <w:sz w:val="22"/>
          <w:szCs w:val="22"/>
        </w:rPr>
        <w:t>Strong therapeutic rapport with children; empathy, patience, and warmth noted (NUR 2320 — Pediatrics)</w:t>
      </w:r>
    </w:p>
    <w:p>
      <w:pPr>
        <w:pStyle w:val="ListParagraph"/>
        <w:numPr>
          <w:ilvl w:val="0"/>
          <w:numId w:val="2"/>
        </w:numPr>
        <w:spacing w:before="0" w:after="60"/>
        <w:rPr/>
      </w:pPr>
      <w:r>
        <w:rPr>
          <w:rFonts w:eastAsia="Arial" w:cs="Arial"/>
          <w:sz w:val="22"/>
          <w:szCs w:val="22"/>
        </w:rPr>
        <w:t>Demonstrates professional accountability; develops confidence in delegation and decision-making (NUR 2410 — Leadership)</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Student Self-Reflection Summary</w:t>
      </w:r>
    </w:p>
    <w:p>
      <w:pPr>
        <w:pStyle w:val="BodyText"/>
        <w:spacing w:before="0" w:after="80"/>
        <w:rPr>
          <w:rFonts w:ascii="Arial" w:hAnsi="Arial" w:eastAsia="Arial" w:cs="Arial"/>
          <w:b w:val="false"/>
          <w:bCs w:val="false"/>
          <w:sz w:val="22"/>
          <w:szCs w:val="22"/>
        </w:rPr>
      </w:pPr>
      <w:r>
        <w:rPr>
          <w:rFonts w:eastAsia="Arial" w:cs="Arial"/>
          <w:b w:val="false"/>
          <w:bCs w:val="false"/>
          <w:sz w:val="22"/>
          <w:szCs w:val="22"/>
        </w:rPr>
        <w:t>Throughout the program, the student consistently became more aware of oneself and more skilled in self, assessment. Some of the main points that came up in the students' self, reflection were:</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Recognizing one's weaknesses and pairing them up with sincere remedial plans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Progressively becoming more sure of one's clinical skills with every new rotation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A greater appreciation of the family, centered and patient, centered care models </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A professional identity, communicative effectiveness, and leadership capacity have all been developed </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Conclusion</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 xml:space="preserve">This skills checklist is a confirmation that the student has shown ability in all the nursing competency areas targeted. The paperwork is enough, thoughtful, and aligns with the level of nursing education standards that are expected. The student is ready to progress in the nursing program. </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Please note that the four courses cited in this document (NUR 2300, NUR 2310, NUR 2320, and NUR 2410) represent a sample extract of the student's clinical training and are not an exhaustive list of all completed coursework.</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This document is verifiable by contacting the issuing institution directly:</w:t>
      </w:r>
    </w:p>
    <w:p>
      <w:pPr>
        <w:pStyle w:val="Normal"/>
        <w:spacing w:before="0" w:after="80"/>
        <w:rPr/>
      </w:pPr>
      <w:r>
        <w:rPr>
          <w:rStyle w:val="Strong"/>
          <w:rFonts w:eastAsia="Arial" w:cs="Arial"/>
          <w:sz w:val="22"/>
          <w:szCs w:val="22"/>
        </w:rPr>
        <w:t>Activa Training Center</w:t>
      </w:r>
      <w:r>
        <w:rPr>
          <w:rFonts w:eastAsia="Arial" w:cs="Arial"/>
          <w:b w:val="false"/>
          <w:bCs w:val="false"/>
          <w:sz w:val="22"/>
          <w:szCs w:val="22"/>
        </w:rPr>
        <w:t xml:space="preserve"> 📞 Phone:</w:t>
      </w:r>
      <w:r>
        <w:rPr>
          <w:rFonts w:eastAsia="Arial" w:cs="Arial"/>
          <w:b w:val="false"/>
          <w:bCs w:val="false"/>
          <w:color w:val="2A6099"/>
          <w:sz w:val="22"/>
          <w:szCs w:val="22"/>
        </w:rPr>
        <w:t xml:space="preserve"> </w:t>
      </w:r>
      <w:hyperlink r:id="rId2">
        <w:r>
          <w:rPr>
            <w:rStyle w:val="Hyperlink"/>
            <w:strike w:val="false"/>
            <w:dstrike w:val="false"/>
            <w:color w:val="2A6099"/>
            <w:u w:val="none"/>
            <w:effect w:val="none"/>
          </w:rPr>
          <w:t>(786) 615-3790</w:t>
        </w:r>
      </w:hyperlink>
      <w:r>
        <w:rPr>
          <w:color w:val="2A6099"/>
        </w:rPr>
        <w:t xml:space="preserve"> </w:t>
      </w:r>
      <w:r>
        <w:rPr>
          <w:rFonts w:eastAsia="Arial" w:cs="Arial"/>
          <w:b w:val="false"/>
          <w:bCs w:val="false"/>
          <w:sz w:val="22"/>
          <w:szCs w:val="22"/>
        </w:rPr>
        <w:t xml:space="preserve"> 🌐 Website: </w:t>
      </w:r>
      <w:hyperlink r:id="rId3">
        <w:r>
          <w:rPr>
            <w:rStyle w:val="Hyperlink"/>
            <w:rFonts w:eastAsia="Arial" w:cs="Arial"/>
            <w:b w:val="false"/>
            <w:bCs w:val="false"/>
            <w:sz w:val="22"/>
            <w:szCs w:val="22"/>
          </w:rPr>
          <w:t>www.activatrainingcenter.com</w:t>
        </w:r>
      </w:hyperlink>
      <w:r>
        <w:rPr>
          <w:rFonts w:eastAsia="Arial" w:cs="Arial"/>
          <w:b w:val="false"/>
          <w:bCs w:val="false"/>
          <w:sz w:val="22"/>
          <w:szCs w:val="22"/>
        </w:rPr>
        <w:t xml:space="preserve"> 📧 Email: </w:t>
      </w:r>
      <w:hyperlink r:id="rId4">
        <w:r>
          <w:rPr>
            <w:rStyle w:val="Hyperlink"/>
            <w:rFonts w:eastAsia="Arial" w:cs="Arial"/>
            <w:b w:val="false"/>
            <w:bCs w:val="false"/>
            <w:sz w:val="22"/>
            <w:szCs w:val="22"/>
          </w:rPr>
          <w:t>info@activatrainingcenter.com</w:t>
        </w:r>
      </w:hyperlink>
      <w:r>
        <w:rPr>
          <w:rFonts w:eastAsia="Arial" w:cs="Arial"/>
          <w:b w:val="false"/>
          <w:bCs w:val="false"/>
          <w:sz w:val="22"/>
          <w:szCs w:val="22"/>
        </w:rPr>
        <w:t xml:space="preserve"> 📍 Address: </w:t>
      </w:r>
      <w:r>
        <w:rPr>
          <w:rFonts w:ascii="Roboto;Arial;sans-serif" w:hAnsi="Roboto;Arial;sans-serif"/>
          <w:b w:val="false"/>
          <w:i w:val="false"/>
          <w:caps w:val="false"/>
          <w:smallCaps w:val="false"/>
          <w:color w:val="2A6099"/>
          <w:spacing w:val="0"/>
          <w:sz w:val="21"/>
        </w:rPr>
        <w:t>9580 Bird Rd suite d, Miami, FL 33165</w:t>
      </w:r>
      <w:r>
        <w:rPr>
          <w:color w:val="2A6099"/>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 w:name="Roboto">
    <w:altName w:val="Arial"/>
    <w:charset w:val="00" w:characterSet="windows-1252"/>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72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search?gs_ssp=eJwFwTEOgCAMAMC4mrg6szhTFJXyBH9RKBJi0oEQwvO9mxedtTEZ2gcgHSa_wXCOMaBlx8niQa-HcRORtcjIhq9zD89KsZVOqlUqUiSrmKSl-gN7fhhA&amp;q=activa+training+center&amp;rlz=1C1RXQR_enUS1185US1185&amp;oq=activa+train&amp;gs_lcrp=EgZjaHJvbWUqGwgBEC4YJxivARjHARiSAxjJAxiABBiKBRiOBTIPCAAQIxgnGOMCGIAEGIoFMhsIARAuGCcYrwEYxwEYkgMYyQMYgAQYigUYjgUyBggCEEUYOTIGCAMQRRg7MgcIBBAAGIAEMgYIBRBFGDwyBggGEEUYPDIGCAcQRRg80gEIMzc0NmowajeoAgCwAgA&amp;sourceid=chrome&amp;ie=UTF-8" TargetMode="External"/><Relationship Id="rId3" Type="http://schemas.openxmlformats.org/officeDocument/2006/relationships/hyperlink" Target="http://www.activatrainingcenter.com/" TargetMode="External"/><Relationship Id="rId4" Type="http://schemas.openxmlformats.org/officeDocument/2006/relationships/hyperlink" Target="mailto:info@activatrainingcenter.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LibreOffice/25.8.3.2$Windows_X86_64 LibreOffice_project/8ca8d55c161d602844f5428fa4b58097424e324e</Application>
  <AppVersion>15.0000</AppVersion>
  <Pages>3</Pages>
  <Words>696</Words>
  <Characters>4275</Characters>
  <CharactersWithSpaces>4919</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2026-03-10T12:22:46Z</dcterms:created>
  <dc:creator>Un-named</dc:creator>
  <dc:description/>
  <dc:language>en-US</dc:language>
  <cp:lastModifiedBy/>
  <dcterms:modified xsi:type="dcterms:W3CDTF">2026-03-10T08:48:08Z</dcterms:modified>
  <cp:revision>2</cp:revision>
  <dc:subject/>
  <dc:title/>
</cp:coreProperties>
</file>