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TP 08/04/2020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Etat d’avancement du projet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La première version du Jeu est quasiment terminé. Après assemblage des différentes fonctionnalités terminés nous obtiendront une version jouable (pas encore optimal car il reste à légèrement adapter le remplissage de la matrice pour pouvoir avoir un meilleur croisement aléatoire des mot et de placer les mots en diagonale également).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Voici le travail réalisé depuis la dernière séance 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fonction d’aide au joueur a été avancée par Guillaume B.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fonction remplissage de la matrice a été avancée par Asmae B.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Répartition des tâches pour la séance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Asmae Bouhandi 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d’améliorer la fonction de remplissage aléatoire de la matrice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Rédaction du compte rendu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Guillaume Briffault 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Continue d’améliorer la fonction d’aide au joueur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Quentin Bellanger :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Assemble le code pour créer la démo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Guillaume Derrien 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du Git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Rédaction du compte rendu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Correction sur la partie sauvegarde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