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E51A3D" w:rsidRPr="009510E6" w:rsidRDefault="00E51A3D"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E51A3D" w:rsidRPr="009510E6" w:rsidRDefault="00E51A3D"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r w:rsidRPr="0045619F">
        <w:rPr>
          <w:rFonts w:ascii="Garamond" w:eastAsia="Times New Roman" w:hAnsi="Garamond" w:cs="Times New Roman"/>
          <w:b/>
          <w:bCs/>
          <w:smallCaps/>
          <w:spacing w:val="20"/>
          <w:sz w:val="34"/>
          <w:lang w:eastAsia="it-IT"/>
        </w:rPr>
        <w:t>Unitelma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0D5E289"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 processi bancari</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Pasquale Sarnacchiaro</w:t>
      </w:r>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49AD6DB5" w14:textId="1D84BFEB" w:rsidR="00DB3E97" w:rsidRPr="00DB3E97" w:rsidRDefault="00DB3E97" w:rsidP="00DB3E97">
      <w:pPr>
        <w:pStyle w:val="Titolo1"/>
      </w:pPr>
      <w:r>
        <w:t>Notazione matematica</w:t>
      </w:r>
    </w:p>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77777777" w:rsidR="00391ECD" w:rsidRDefault="00391ECD" w:rsidP="00690037">
      <w:pPr>
        <w:pStyle w:val="Titolo"/>
        <w:pageBreakBefore w:val="0"/>
      </w:pPr>
      <w:r>
        <w:t>TITOLO DEL CAPITOLO</w:t>
      </w:r>
    </w:p>
    <w:p w14:paraId="4829F15C" w14:textId="77777777" w:rsidR="00391ECD" w:rsidRPr="00391ECD" w:rsidRDefault="00391ECD" w:rsidP="00782781">
      <w:pPr>
        <w:rPr>
          <w:rFonts w:cs="Times New Roman"/>
          <w:szCs w:val="26"/>
        </w:rPr>
      </w:pPr>
      <w:r w:rsidRPr="0045619F">
        <w:t>wcnipwbifhvbfiebvihefbvihfbvfiehvbefihbvqeifhvbefihbveifhbvqiefbveihfbviefhbviefhqbviqfehvbihefbvih</w:t>
      </w:r>
      <w:r>
        <w:rPr>
          <w:rFonts w:cs="Times New Roman"/>
          <w:szCs w:val="26"/>
        </w:rPr>
        <w:t>v</w:t>
      </w:r>
    </w:p>
    <w:p w14:paraId="0C1D3D3A" w14:textId="77777777" w:rsidR="00391ECD" w:rsidRDefault="00391ECD" w:rsidP="00782781">
      <w:pPr>
        <w:pStyle w:val="Titolo1"/>
      </w:pPr>
      <w:bookmarkStart w:id="0" w:name="_Toc443849163"/>
      <w:r>
        <w:t>Paragrafo</w:t>
      </w:r>
      <w:bookmarkEnd w:id="0"/>
    </w:p>
    <w:p w14:paraId="58C295A3" w14:textId="77777777" w:rsidR="00391ECD" w:rsidRPr="00391ECD" w:rsidRDefault="00391ECD" w:rsidP="00391ECD">
      <w:r>
        <w:t>àldkwncdljwnvjrnvfjnvfjlnvjlfnvlajfnvfdjnvdljvnlfjvnfljvnfljvnfldjnjlvndfaljvndfljvndfljvndfljvndfljvnldfjnv</w:t>
      </w:r>
    </w:p>
    <w:p w14:paraId="3BF37791" w14:textId="77777777" w:rsidR="00391ECD" w:rsidRDefault="00391ECD" w:rsidP="00782781">
      <w:pPr>
        <w:pStyle w:val="Titolo1"/>
      </w:pPr>
      <w:bookmarkStart w:id="1" w:name="_Toc443849164"/>
      <w:r>
        <w:t>Secondo paragrafo</w:t>
      </w:r>
      <w:bookmarkEnd w:id="1"/>
    </w:p>
    <w:p w14:paraId="063EB7FE" w14:textId="77777777" w:rsidR="00391ECD" w:rsidRDefault="00391ECD" w:rsidP="005E1CCC">
      <w:pPr>
        <w:pStyle w:val="Titolo3"/>
      </w:pPr>
      <w:bookmarkStart w:id="2" w:name="_Toc443849165"/>
      <w:r>
        <w:t>Terzo sotto</w:t>
      </w:r>
      <w:bookmarkEnd w:id="2"/>
    </w:p>
    <w:p w14:paraId="2F25353C" w14:textId="77777777" w:rsidR="00391ECD" w:rsidRDefault="00391ECD" w:rsidP="005E1CCC">
      <w:pPr>
        <w:pStyle w:val="Titolo3"/>
      </w:pPr>
      <w:bookmarkStart w:id="3" w:name="_Toc443849166"/>
      <w:r>
        <w:t>Sottoparagrafo</w:t>
      </w:r>
      <w:bookmarkEnd w:id="3"/>
    </w:p>
    <w:p w14:paraId="41780DD9" w14:textId="77777777" w:rsidR="00391ECD" w:rsidRDefault="00391ECD" w:rsidP="005E1CCC">
      <w:pPr>
        <w:pStyle w:val="Titolo3"/>
      </w:pPr>
      <w:bookmarkStart w:id="4" w:name="_Toc443849167"/>
      <w:r>
        <w:t>Sottoparagrafo</w:t>
      </w:r>
      <w:bookmarkEnd w:id="4"/>
    </w:p>
    <w:p w14:paraId="35B80983" w14:textId="33B5FF1B" w:rsidR="00391ECD" w:rsidRDefault="001D322F" w:rsidP="005E1CCC">
      <w:pPr>
        <w:pStyle w:val="Titolo3"/>
      </w:pPr>
      <w:bookmarkStart w:id="5" w:name="_Toc443849168"/>
      <w:r>
        <w:t>S</w:t>
      </w:r>
      <w:r w:rsidR="00391ECD">
        <w:t>ottoparagrafo</w:t>
      </w:r>
      <w:bookmarkEnd w:id="5"/>
    </w:p>
    <w:p w14:paraId="207FB253" w14:textId="77777777" w:rsidR="00F772B3" w:rsidRDefault="00F772B3" w:rsidP="00F772B3"/>
    <w:p w14:paraId="5DE8CF20" w14:textId="1750C986" w:rsidR="00F772B3" w:rsidRDefault="00F772B3" w:rsidP="00F772B3">
      <w:pPr>
        <w:pStyle w:val="Titolo1"/>
      </w:pPr>
      <w:bookmarkStart w:id="6" w:name="_Toc443849169"/>
      <w:r>
        <w:t>Paragrafi</w:t>
      </w:r>
      <w:bookmarkEnd w:id="6"/>
    </w:p>
    <w:p w14:paraId="1F0D2319" w14:textId="43A2717F" w:rsidR="00F772B3" w:rsidRPr="00F772B3" w:rsidRDefault="00F772B3" w:rsidP="00F772B3">
      <w:pPr>
        <w:pStyle w:val="Titolo3"/>
      </w:pPr>
      <w:bookmarkStart w:id="7" w:name="_Toc443849170"/>
      <w:r>
        <w:t>sotto</w:t>
      </w:r>
      <w:bookmarkEnd w:id="7"/>
      <w:r w:rsidR="00A32F01">
        <w:t>nmhmgmjg</w:t>
      </w:r>
    </w:p>
    <w:p w14:paraId="6B3F46FE" w14:textId="77777777" w:rsidR="001D322F" w:rsidRDefault="001D322F" w:rsidP="001D322F"/>
    <w:p w14:paraId="2999300C" w14:textId="77777777" w:rsidR="00952F71" w:rsidRDefault="00952F71" w:rsidP="00F772B3">
      <w:pPr>
        <w:ind w:firstLine="0"/>
      </w:pPr>
    </w:p>
    <w:p w14:paraId="74D51047" w14:textId="77777777" w:rsidR="00952F71" w:rsidRDefault="00952F71" w:rsidP="00952F71"/>
    <w:p w14:paraId="2CDE5E6B" w14:textId="77777777" w:rsidR="00952F71" w:rsidRDefault="00952F71" w:rsidP="00952F71"/>
    <w:p w14:paraId="6B4C9127" w14:textId="77777777" w:rsidR="00FB0831" w:rsidRPr="00952F71" w:rsidRDefault="00FB0831" w:rsidP="00952F71"/>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20115611" w:rsidR="00877795" w:rsidRDefault="00D83187" w:rsidP="00D83187">
      <w:r>
        <w:t>L’intento della cl</w:t>
      </w:r>
      <w:r w:rsidR="00942785">
        <w:t xml:space="preserve">assificazione binaria è predire, in base ai valori assunti da </w:t>
      </w:r>
      <w:r w:rsidR="00942785" w:rsidRPr="00942785">
        <w:rPr>
          <w:i/>
        </w:rPr>
        <w:t>p</w:t>
      </w:r>
      <w:r w:rsidR="00942785">
        <w:t xml:space="preserve"> variabili indipendenti, </w:t>
      </w:r>
      <w:r>
        <w:t xml:space="preserve">l’uscita di una variabile dicotomica </w:t>
      </w:r>
      <w:r w:rsidRPr="00D83187">
        <w:rPr>
          <w:i/>
        </w:rPr>
        <w:t>Y</w:t>
      </w:r>
      <w:r>
        <w:t xml:space="preserve"> 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1CEE19C8" w:rsidR="00CC23A9" w:rsidRDefault="00CC23A9" w:rsidP="00CC23A9">
      <w:pPr>
        <w:rPr>
          <w:rFonts w:eastAsiaTheme="minorEastAsia"/>
        </w:rPr>
      </w:pPr>
      <w:r>
        <w:rPr>
          <w:rFonts w:eastAsiaTheme="minorEastAsia"/>
        </w:rPr>
        <w:t xml:space="preserve">Un tipico approccio per la predizione è quello di stimare la probabilità che </w:t>
      </w:r>
      <w:r w:rsidRPr="00CC23A9">
        <w:rPr>
          <w:rFonts w:eastAsiaTheme="minorEastAsia"/>
          <w:i/>
        </w:rPr>
        <w:t>Y</w:t>
      </w:r>
      <w:r>
        <w:rPr>
          <w:rFonts w:eastAsiaTheme="minorEastAsia"/>
        </w:rPr>
        <w:t xml:space="preserve"> assuma il valore </w:t>
      </w:r>
      <w:r w:rsidRPr="00CC23A9">
        <w:rPr>
          <w:rFonts w:eastAsiaTheme="minorEastAsia"/>
          <w:i/>
        </w:rPr>
        <w:t>1</w:t>
      </w:r>
      <w:r w:rsidR="00344E78">
        <w:rPr>
          <w:rFonts w:eastAsiaTheme="minorEastAsia"/>
        </w:rPr>
        <w:t xml:space="preserve"> in base ai valori del vettore delle variabili indipendenti, che denoteremo con </w:t>
      </w:r>
      <w:r w:rsidR="00344E78" w:rsidRPr="00344E78">
        <w:rPr>
          <w:rFonts w:eastAsiaTheme="minorEastAsia"/>
          <w:b/>
          <w:i/>
        </w:rPr>
        <w:t>X</w:t>
      </w:r>
      <w:r>
        <w:rPr>
          <w:rFonts w:eastAsiaTheme="minorEastAsia"/>
        </w:rPr>
        <w:t xml:space="preserve">. Come noto, la probabilità che un evento accada può assumere soltanto valori tra </w:t>
      </w:r>
      <w:r w:rsidRPr="00CC23A9">
        <w:rPr>
          <w:rFonts w:eastAsiaTheme="minorEastAsia"/>
          <w:i/>
        </w:rPr>
        <w:t>0</w:t>
      </w:r>
      <w:r>
        <w:rPr>
          <w:rFonts w:eastAsiaTheme="minorEastAsia"/>
        </w:rPr>
        <w:t xml:space="preserve"> e </w:t>
      </w:r>
      <w:r w:rsidRPr="00CC23A9">
        <w:rPr>
          <w:rFonts w:eastAsiaTheme="minorEastAsia"/>
          <w:i/>
        </w:rPr>
        <w:t>1</w:t>
      </w:r>
      <w:r w:rsidR="00E51408">
        <w:rPr>
          <w:rStyle w:val="Rimandonotaapidipagina"/>
          <w:rFonts w:eastAsiaTheme="minorEastAsia"/>
          <w:i/>
        </w:rPr>
        <w:footnoteReference w:id="1"/>
      </w:r>
      <w:r>
        <w:rPr>
          <w:rFonts w:eastAsiaTheme="minorEastAsia"/>
        </w:rPr>
        <w:t>, quindi a questo scopo la regressione lineare è inadatta, in quanto modello volto a predire il valor</w:t>
      </w:r>
      <w:bookmarkStart w:id="8" w:name="_Toc443849173"/>
      <w:r>
        <w:rPr>
          <w:rFonts w:eastAsiaTheme="minorEastAsia"/>
        </w:rPr>
        <w:t>e di una variabile quantitativa che non può essere sottoposta a una restrizione di intervallo di questo tipo</w:t>
      </w:r>
      <w:r w:rsidR="00E51408">
        <w:rPr>
          <w:rStyle w:val="Rimandonotaapidipagina"/>
          <w:rFonts w:eastAsiaTheme="minorEastAsia"/>
        </w:rPr>
        <w:footnoteReference w:id="2"/>
      </w:r>
      <w:r>
        <w:rPr>
          <w:rFonts w:eastAsiaTheme="minorEastAsia"/>
        </w:rPr>
        <w:t>.</w:t>
      </w:r>
      <w:r w:rsidR="00E51408">
        <w:rPr>
          <w:rFonts w:eastAsiaTheme="minorEastAsia"/>
        </w:rPr>
        <w:t xml:space="preserve"> </w:t>
      </w:r>
    </w:p>
    <w:p w14:paraId="08EBD5D6" w14:textId="60351F3D" w:rsidR="00E51408" w:rsidRDefault="00E51408" w:rsidP="00E51408">
      <w:pPr>
        <w:rPr>
          <w:rFonts w:eastAsiaTheme="minorEastAsia"/>
        </w:rPr>
      </w:pPr>
      <w:r>
        <w:rPr>
          <w:rFonts w:eastAsiaTheme="minorEastAsia"/>
        </w:rPr>
        <w:t xml:space="preserve">Inoltre una variabile casuale dicotomica ha una distribuzione di Bernoulli (o binomiale), che prevede una varianza pari a </w:t>
      </w:r>
      <m:oMath>
        <m:r>
          <w:rPr>
            <w:rFonts w:ascii="Cambria Math" w:hAnsi="Cambria Math"/>
          </w:rPr>
          <m:t>π</m:t>
        </m:r>
        <m:d>
          <m:dPr>
            <m:ctrlPr>
              <w:rPr>
                <w:rFonts w:ascii="Cambria Math" w:hAnsi="Cambria Math"/>
                <w:i/>
              </w:rPr>
            </m:ctrlPr>
          </m:dPr>
          <m:e>
            <m:r>
              <w:rPr>
                <w:rFonts w:ascii="Cambria Math" w:hAnsi="Cambria Math"/>
              </w:rPr>
              <m:t>i-π</m:t>
            </m:r>
          </m:e>
        </m:d>
      </m:oMath>
      <w:r>
        <w:rPr>
          <w:rFonts w:eastAsiaTheme="minorEastAsia"/>
        </w:rPr>
        <w:t xml:space="preserve">, dove </w:t>
      </w:r>
      <m:oMath>
        <m:r>
          <w:rPr>
            <w:rFonts w:ascii="Cambria Math" w:hAnsi="Cambria Math"/>
          </w:rPr>
          <m:t>π</m:t>
        </m:r>
      </m:oMath>
      <w:r>
        <w:rPr>
          <w:rFonts w:eastAsiaTheme="minorEastAsia"/>
        </w:rPr>
        <w:t xml:space="preserve"> è la probabilità che l’evento accada. Tale varianza dipende da un valore non costante</w:t>
      </w:r>
      <w:r w:rsidR="00344E78">
        <w:rPr>
          <w:rFonts w:eastAsiaTheme="minorEastAsia"/>
        </w:rPr>
        <w:t xml:space="preserve"> (perché dipendente dal valore dei regressori)</w:t>
      </w:r>
      <w:r>
        <w:rPr>
          <w:rFonts w:eastAsiaTheme="minorEastAsia"/>
        </w:rPr>
        <w:t>, e quindi non è costante. Se ne conclude ulteriormente l’inadeguatezza dell’utilizzo della regressione lineare, che regge sull’assunto della omoschedasticità e quindi della omogeneità della varianza per tutte le combinazioni di valori delle variabili indipendenti</w:t>
      </w:r>
      <w:r w:rsidR="00EF37B4">
        <w:rPr>
          <w:rStyle w:val="Rimandonotaapidipagina"/>
          <w:rFonts w:eastAsiaTheme="minorEastAsia"/>
        </w:rPr>
        <w:footnoteReference w:id="3"/>
      </w:r>
      <w:r>
        <w:rPr>
          <w:rFonts w:eastAsiaTheme="minorEastAsia"/>
        </w:rPr>
        <w:t>.</w:t>
      </w:r>
    </w:p>
    <w:p w14:paraId="0A4E2A5C" w14:textId="558891CA" w:rsidR="00344E78" w:rsidRDefault="00344E78" w:rsidP="00E51408">
      <w:pPr>
        <w:rPr>
          <w:rFonts w:eastAsiaTheme="minorEastAsia"/>
        </w:rPr>
      </w:pPr>
      <w:r>
        <w:rPr>
          <w:rFonts w:eastAsiaTheme="minorEastAsia"/>
        </w:rPr>
        <w:lastRenderedPageBreak/>
        <w:t xml:space="preserve">Insomma, l’obiettivo è quello di individuare una funzione che a partire dal vettore di valori delle variabili indipendenti </w:t>
      </w:r>
      <w:r w:rsidRPr="00344E78">
        <w:rPr>
          <w:rFonts w:eastAsiaTheme="minorEastAsia"/>
          <w:b/>
          <w:i/>
        </w:rPr>
        <w:t>X</w:t>
      </w:r>
      <w:r>
        <w:rPr>
          <w:rFonts w:eastAsiaTheme="minorEastAsia"/>
        </w:rPr>
        <w:t xml:space="preserve"> fornisca una probabilità che </w:t>
      </w:r>
      <w:r w:rsidRPr="00344E78">
        <w:rPr>
          <w:rFonts w:eastAsiaTheme="minorEastAsia"/>
          <w:i/>
        </w:rPr>
        <w:t>Y = 1</w:t>
      </w:r>
      <w:r w:rsidR="00EF18EF">
        <w:rPr>
          <w:rFonts w:eastAsiaTheme="minorEastAsia"/>
          <w:i/>
        </w:rPr>
        <w:t xml:space="preserve"> </w:t>
      </w:r>
      <w:r w:rsidR="00EF18EF">
        <w:rPr>
          <w:rFonts w:eastAsiaTheme="minorEastAsia"/>
        </w:rPr>
        <w:t xml:space="preserve">come valore atteso di </w:t>
      </w:r>
      <w:r w:rsidR="00EF18EF" w:rsidRPr="00EF18EF">
        <w:rPr>
          <w:rFonts w:eastAsiaTheme="minorEastAsia"/>
          <w:i/>
        </w:rPr>
        <w:t>Y</w:t>
      </w:r>
      <w:r>
        <w:rPr>
          <w:rFonts w:eastAsiaTheme="minorEastAsia"/>
        </w:rPr>
        <w:t>:</w:t>
      </w:r>
    </w:p>
    <w:p w14:paraId="76A47CAC" w14:textId="74A4AEA4" w:rsidR="00344E78" w:rsidRDefault="00344E78" w:rsidP="004F5E26">
      <w:pPr>
        <w:jc w:val="cente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4"/>
      </w:r>
      <w:r w:rsidR="004F5E26">
        <w:rPr>
          <w:rFonts w:eastAsiaTheme="minorEastAsia"/>
        </w:rPr>
        <w:t xml:space="preserve">      </w:t>
      </w:r>
    </w:p>
    <w:p w14:paraId="6E60652C" w14:textId="2AF6FC2D" w:rsidR="00344E78" w:rsidRPr="00344E78" w:rsidRDefault="00344E78" w:rsidP="00344E78">
      <w:pPr>
        <w:pStyle w:val="Titolo3"/>
      </w:pPr>
      <w:r>
        <w:t>La funzione logistica</w:t>
      </w:r>
    </w:p>
    <w:p w14:paraId="2DB47EF1" w14:textId="3593036D" w:rsidR="00E51408" w:rsidRDefault="00344E78" w:rsidP="00CC23A9">
      <w:pPr>
        <w:rPr>
          <w:rFonts w:eastAsiaTheme="minorEastAsia"/>
        </w:rPr>
      </w:pPr>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w:r w:rsidRPr="00344E78">
        <w:rPr>
          <w:rFonts w:eastAsiaTheme="minorEastAsia"/>
          <w:i/>
        </w:rPr>
        <w:t>Y</w:t>
      </w:r>
      <w:r>
        <w:rPr>
          <w:rFonts w:eastAsiaTheme="minorEastAsia"/>
        </w:rPr>
        <w:t xml:space="preserve"> è la cosiddetta funzione logistica</w:t>
      </w:r>
      <w:r w:rsidR="00A126BF">
        <w:rPr>
          <w:rStyle w:val="Rimandonotaapidipagina"/>
          <w:rFonts w:eastAsiaTheme="minorEastAsia"/>
        </w:rPr>
        <w:footnoteReference w:id="5"/>
      </w:r>
      <w:r>
        <w:rPr>
          <w:rFonts w:eastAsiaTheme="minorEastAsia"/>
        </w:rPr>
        <w:t>:</w:t>
      </w:r>
    </w:p>
    <w:p w14:paraId="1732D2E4" w14:textId="630EE30D" w:rsidR="00B6006E" w:rsidRDefault="00E46CD3" w:rsidP="00B6006E">
      <m:oMathPara>
        <m:oMath>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8"/>
    <w:p w14:paraId="24AA71A6" w14:textId="46B4180D" w:rsidR="00E46CD3" w:rsidRDefault="00E46CD3" w:rsidP="00E46CD3">
      <w:pPr>
        <w:ind w:firstLine="0"/>
        <w:rPr>
          <w:rFonts w:eastAsiaTheme="minorEastAsia"/>
        </w:rPr>
      </w:pPr>
      <w:r>
        <w:rPr>
          <w:rFonts w:eastAsiaTheme="minorEastAsia"/>
        </w:rPr>
        <w:t xml:space="preserve">dove </w:t>
      </w:r>
      <w:r w:rsidR="00942785" w:rsidRPr="00942785">
        <w:rPr>
          <w:rFonts w:eastAsiaTheme="minorEastAsia"/>
          <w:i/>
        </w:rPr>
        <w:t>z</w:t>
      </w:r>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942785" w:rsidRPr="00942785">
        <w:rPr>
          <w:rFonts w:eastAsiaTheme="minorEastAsia"/>
          <w:i/>
        </w:rPr>
        <w:t>funzione logistica</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998" cy="2160000"/>
                    </a:xfrm>
                    <a:prstGeom prst="rect">
                      <a:avLst/>
                    </a:prstGeom>
                  </pic:spPr>
                </pic:pic>
              </a:graphicData>
            </a:graphic>
          </wp:inline>
        </w:drawing>
      </w:r>
    </w:p>
    <w:p w14:paraId="707233A6" w14:textId="083BB93E" w:rsidR="005E1CCC" w:rsidRPr="009F7863" w:rsidRDefault="00E46CD3">
      <w:r>
        <w:t xml:space="preserve">La funzione logistica passa sempre per il punto di coordinate </w:t>
      </w:r>
      <w:r>
        <w:rPr>
          <w:i/>
        </w:rPr>
        <w:t>(0;</w:t>
      </w:r>
      <w:r w:rsidRPr="00E46CD3">
        <w:rPr>
          <w:i/>
        </w:rPr>
        <w:t xml:space="preserve"> 0,5)</w:t>
      </w:r>
      <w:r>
        <w:t>, dove interseca l’asse delle ascisse. Tale forma assunta dalla funzione logistica si chiama sigmoide</w:t>
      </w:r>
      <w:r>
        <w:rPr>
          <w:rStyle w:val="Rimandonotaapidipagina"/>
        </w:rPr>
        <w:footnoteReference w:id="6"/>
      </w:r>
      <w:r w:rsidR="008F69D4">
        <w:t xml:space="preserve">. Una delle più importanti proprietà di questa funzione è che qualunque valore assuma </w:t>
      </w:r>
      <w:r w:rsidR="008F69D4" w:rsidRPr="008F69D4">
        <w:rPr>
          <w:i/>
        </w:rPr>
        <w:t>z</w:t>
      </w:r>
      <w:r w:rsidR="008F69D4">
        <w:t xml:space="preserve">, il valore di </w:t>
      </w:r>
      <w:r w:rsidR="008F69D4" w:rsidRPr="008F69D4">
        <w:rPr>
          <w:i/>
        </w:rPr>
        <w:t>f(z)</w:t>
      </w:r>
      <w:r w:rsidR="008F69D4">
        <w:t xml:space="preserve"> sarà sempre compreso nell’intervallo [0; 1]. Se z tende a </w:t>
      </w:r>
      <w:r w:rsidR="008F69D4">
        <w:sym w:font="Symbol" w:char="F0A5"/>
      </w:r>
      <w:r w:rsidR="008F69D4">
        <w:t xml:space="preserve"> allora il valore di uscita tenderà a </w:t>
      </w:r>
      <w:r w:rsidR="00327FE3">
        <w:t xml:space="preserve">0, in caso contrario a 1. </w:t>
      </w:r>
      <w:r w:rsidR="008F69D4">
        <w:t xml:space="preserve">Questo è esattamente quello che ci aspettiamo da una funzione la cui uscita deve essere una </w:t>
      </w:r>
      <w:r w:rsidR="008F69D4">
        <w:lastRenderedPageBreak/>
        <w:t>probabilità.</w:t>
      </w:r>
      <w:r w:rsidR="009F7863">
        <w:t xml:space="preserve"> </w:t>
      </w:r>
      <w:r w:rsidR="009F7863">
        <w:rPr>
          <w:i/>
        </w:rPr>
        <w:t>z</w:t>
      </w:r>
      <w:r w:rsidR="009F7863" w:rsidRPr="009F7863">
        <w:t xml:space="preserve"> può</w:t>
      </w:r>
      <w:r w:rsidR="009F7863">
        <w:t xml:space="preserve"> quindi essere visto come una sintesi dei vari fattori che determinano l’accadere di un evento</w:t>
      </w:r>
      <w:r w:rsidR="009F7863">
        <w:rPr>
          <w:rStyle w:val="Rimandonotaapidipagina"/>
        </w:rPr>
        <w:footnoteReference w:id="7"/>
      </w:r>
      <w:r w:rsidR="00C61EA3">
        <w:t>.</w:t>
      </w:r>
    </w:p>
    <w:p w14:paraId="33C43D56" w14:textId="4A127B6F" w:rsidR="008F69D4" w:rsidRDefault="008F69D4" w:rsidP="008F69D4">
      <w:pPr>
        <w:pStyle w:val="Titolo3"/>
      </w:pPr>
      <w:r>
        <w:t>La trasformazione in relazione lineare</w:t>
      </w:r>
      <w:r w:rsidR="00F94939">
        <w:rPr>
          <w:rStyle w:val="Rimandonotaapidipagina"/>
        </w:rPr>
        <w:footnoteReference w:id="8"/>
      </w:r>
    </w:p>
    <w:p w14:paraId="765FB919" w14:textId="69E049AF" w:rsidR="008F69D4" w:rsidRDefault="009F7863" w:rsidP="008F69D4">
      <w:r>
        <w:t xml:space="preserve">La funzione logistica </w:t>
      </w:r>
      <w:r w:rsidR="002577BB">
        <w:t xml:space="preserve">può assumere una forma molto più interpretabile e lavorabile se passiamo dalla </w:t>
      </w:r>
      <w:r w:rsidR="00876BAE">
        <w:t>considerazione della probabilità a quella de</w:t>
      </w:r>
      <w:r w:rsidR="002577BB">
        <w:t>ll’</w:t>
      </w:r>
      <w:r w:rsidR="002577BB" w:rsidRPr="002577BB">
        <w:t>ODDS.</w:t>
      </w:r>
      <w:r w:rsidR="002577BB">
        <w:t xml:space="preserve"> </w:t>
      </w:r>
    </w:p>
    <w:p w14:paraId="6F6350E0" w14:textId="474E8A0A" w:rsidR="00876BAE" w:rsidRDefault="00876BAE" w:rsidP="00876BAE">
      <w:r>
        <w:t xml:space="preserve">Sia </w:t>
      </w:r>
      <m:oMath>
        <m:r>
          <w:rPr>
            <w:rFonts w:ascii="Cambria Math" w:hAnsi="Cambria Math"/>
          </w:rPr>
          <m:t>π</m:t>
        </m:r>
        <m:d>
          <m:dPr>
            <m:ctrlPr>
              <w:rPr>
                <w:rFonts w:ascii="Cambria Math" w:hAnsi="Cambria Math"/>
                <w:i/>
              </w:rPr>
            </m:ctrlPr>
          </m:dPr>
          <m:e>
            <m:r>
              <w:rPr>
                <w:rFonts w:ascii="Cambria Math" w:hAnsi="Cambria Math"/>
              </w:rPr>
              <m:t>x</m:t>
            </m:r>
          </m:e>
        </m:d>
      </m:oMath>
      <w:r>
        <w:t xml:space="preserve"> la probabilità che un evento accada</w:t>
      </w:r>
      <w:r w:rsidR="00630C6E">
        <w:t xml:space="preserve"> in dipendenza di una certa combinazione delle variabili indipendenti</w:t>
      </w:r>
      <w:r>
        <w:t>,</w:t>
      </w:r>
      <w:r w:rsidR="00630C6E">
        <w:t xml:space="preserve"> allora:</w:t>
      </w:r>
      <w:r>
        <w:t xml:space="preserve"> </w:t>
      </w:r>
    </w:p>
    <w:p w14:paraId="7E69B4A8" w14:textId="2CB088F6" w:rsidR="00876BAE" w:rsidRDefault="00876BAE" w:rsidP="00876BAE">
      <w:pPr>
        <w:jc w:val="center"/>
      </w:pPr>
      <w:r>
        <w:t xml:space="preserve">ODDS = </w:t>
      </w:r>
      <m:oMath>
        <m:f>
          <m:fPr>
            <m:ctrlPr>
              <w:rPr>
                <w:rFonts w:ascii="Cambria Math" w:hAnsi="Cambria Math"/>
                <w:sz w:val="32"/>
              </w:rPr>
            </m:ctrlPr>
          </m:fPr>
          <m:num>
            <m:r>
              <w:rPr>
                <w:rFonts w:ascii="Cambria Math" w:hAnsi="Cambria Math"/>
                <w:sz w:val="32"/>
              </w:rPr>
              <m:t>π</m:t>
            </m:r>
            <m:d>
              <m:dPr>
                <m:ctrlPr>
                  <w:rPr>
                    <w:rFonts w:ascii="Cambria Math" w:hAnsi="Cambria Math"/>
                    <w:i/>
                    <w:sz w:val="32"/>
                  </w:rPr>
                </m:ctrlPr>
              </m:dPr>
              <m:e>
                <m:r>
                  <w:rPr>
                    <w:rFonts w:ascii="Cambria Math" w:hAnsi="Cambria Math"/>
                    <w:sz w:val="32"/>
                  </w:rPr>
                  <m:t>x</m:t>
                </m:r>
              </m:e>
            </m:d>
          </m:num>
          <m:den>
            <m:r>
              <w:rPr>
                <w:rFonts w:ascii="Cambria Math" w:hAnsi="Cambria Math"/>
                <w:sz w:val="32"/>
              </w:rPr>
              <m:t>1-π</m:t>
            </m:r>
            <m:d>
              <m:dPr>
                <m:ctrlPr>
                  <w:rPr>
                    <w:rFonts w:ascii="Cambria Math" w:hAnsi="Cambria Math"/>
                    <w:i/>
                    <w:sz w:val="32"/>
                  </w:rPr>
                </m:ctrlPr>
              </m:dPr>
              <m:e>
                <m:r>
                  <w:rPr>
                    <w:rFonts w:ascii="Cambria Math" w:hAnsi="Cambria Math"/>
                    <w:sz w:val="32"/>
                  </w:rPr>
                  <m:t>x</m:t>
                </m:r>
              </m:e>
            </m:d>
          </m:den>
        </m:f>
      </m:oMath>
    </w:p>
    <w:p w14:paraId="3666578C" w14:textId="77777777" w:rsidR="00876BAE" w:rsidRDefault="00876BAE" w:rsidP="008F69D4">
      <w:r>
        <w:t>L’ODDS è il rapporto tra probabilità complementari</w:t>
      </w:r>
      <w:r>
        <w:rPr>
          <w:rStyle w:val="Rimandonotaapidipagina"/>
        </w:rPr>
        <w:footnoteReference w:id="9"/>
      </w:r>
      <w:r>
        <w:t xml:space="preserve"> ed esprime quanto le probabilità a favore sono maggiori (o minori) di quelle contro.</w:t>
      </w:r>
    </w:p>
    <w:p w14:paraId="5C77BA34" w14:textId="2D6313F9" w:rsidR="00876BAE" w:rsidRDefault="00876BAE" w:rsidP="008F69D4">
      <w:r>
        <w:t xml:space="preserve">L’ODDS è una misura che </w:t>
      </w:r>
      <w:r w:rsidR="00F94939">
        <w:t>che si muove nell’intervallo (</w:t>
      </w:r>
      <w:r>
        <w:t>0</w:t>
      </w:r>
      <w:r w:rsidR="00F94939">
        <w:t>;</w:t>
      </w:r>
      <w:r>
        <w:t xml:space="preserve"> </w:t>
      </w:r>
      <w:r>
        <w:sym w:font="Symbol" w:char="F0A5"/>
      </w:r>
      <w:r w:rsidR="00F94939">
        <w:t>). Tuttavia, se all’ODDS applichiamo il logaritmo naturale il risultato è una quantità che va da (-</w:t>
      </w:r>
      <w:r w:rsidR="00F94939">
        <w:sym w:font="Symbol" w:char="F0A5"/>
      </w:r>
      <w:r w:rsidR="00F94939">
        <w:t>,</w:t>
      </w:r>
      <w:r w:rsidR="00F94939">
        <w:sym w:font="Symbol" w:char="F0A5"/>
      </w:r>
      <w:r w:rsidR="00F94939">
        <w:t>)</w:t>
      </w:r>
      <w:r w:rsidR="00C61EA3">
        <w:t>, il cosiddetto LOGIT</w:t>
      </w:r>
      <w:r w:rsidR="00F94939">
        <w:rPr>
          <w:rStyle w:val="Rimandonotaapidipagina"/>
        </w:rPr>
        <w:footnoteReference w:id="10"/>
      </w:r>
      <w:r w:rsidR="008D121D">
        <w:t>.</w:t>
      </w:r>
      <w:r w:rsidR="00F11FAF">
        <w:t xml:space="preserve"> E, cosa molto più importante, è matematicamente dimostrabile</w:t>
      </w:r>
      <w:r w:rsidR="00F11FAF">
        <w:rPr>
          <w:rStyle w:val="Rimandonotaapidipagina"/>
        </w:rPr>
        <w:footnoteReference w:id="11"/>
      </w:r>
      <w:r w:rsidR="00F11FAF">
        <w:t xml:space="preserve"> questa equazione:</w:t>
      </w:r>
    </w:p>
    <w:p w14:paraId="6681E5DE" w14:textId="03AFF0AE" w:rsidR="00693B95" w:rsidRDefault="000843AD" w:rsidP="000843AD">
      <w:pPr>
        <w:jc w:val="center"/>
      </w:pPr>
      <m:oMath>
        <m:r>
          <w:rPr>
            <w:rFonts w:ascii="Cambria Math" w:hAnsi="Cambria Math"/>
          </w:rPr>
          <m:t>ln</m:t>
        </m:r>
        <m:d>
          <m:dPr>
            <m:ctrlPr>
              <w:rPr>
                <w:rFonts w:ascii="Cambria Math" w:hAnsi="Cambria Math"/>
              </w:rPr>
            </m:ctrlPr>
          </m:dPr>
          <m:e>
            <m:f>
              <m:fPr>
                <m:ctrlPr>
                  <w:rPr>
                    <w:rFonts w:ascii="Cambria Math" w:hAnsi="Cambria Math"/>
                    <w:sz w:val="32"/>
                  </w:rPr>
                </m:ctrlPr>
              </m:fPr>
              <m:num>
                <m:r>
                  <w:rPr>
                    <w:rFonts w:ascii="Cambria Math" w:hAnsi="Cambria Math"/>
                    <w:sz w:val="32"/>
                  </w:rPr>
                  <m:t>π(x)</m:t>
                </m:r>
              </m:num>
              <m:den>
                <m:r>
                  <w:rPr>
                    <w:rFonts w:ascii="Cambria Math" w:hAnsi="Cambria Math"/>
                    <w:sz w:val="32"/>
                  </w:rPr>
                  <m:t>1-π(x)</m:t>
                </m:r>
              </m:den>
            </m:f>
          </m:e>
        </m:d>
      </m:oMath>
      <w:r w:rsidR="00693B95">
        <w:rPr>
          <w:rFonts w:eastAsiaTheme="minorEastAsia"/>
        </w:rPr>
        <w:t xml:space="preserve">= </w:t>
      </w:r>
      <w:r w:rsidR="00693B95" w:rsidRPr="000843AD">
        <w:rPr>
          <w:rFonts w:eastAsiaTheme="minorEastAsia"/>
          <w:i/>
        </w:rPr>
        <w:t>z</w:t>
      </w:r>
    </w:p>
    <w:p w14:paraId="70E4739D" w14:textId="77777777" w:rsidR="00693B95" w:rsidRDefault="00693B95" w:rsidP="008F69D4"/>
    <w:p w14:paraId="1AFFB8F8" w14:textId="23844347" w:rsidR="00E363E7" w:rsidRDefault="00E363E7" w:rsidP="008F69D4">
      <w:pPr>
        <w:rPr>
          <w:rFonts w:eastAsiaTheme="minorEastAsia"/>
        </w:rPr>
      </w:pPr>
      <w:r>
        <w:rPr>
          <w:rFonts w:eastAsiaTheme="minorEastAsia"/>
        </w:rPr>
        <w:t xml:space="preserve">Se </w:t>
      </w:r>
      <w:r w:rsidR="00C61EA3">
        <w:rPr>
          <w:rFonts w:eastAsiaTheme="minorEastAsia"/>
        </w:rPr>
        <w:t xml:space="preserve">esprimiamo </w:t>
      </w:r>
      <w:r w:rsidR="00C61EA3" w:rsidRPr="00C61EA3">
        <w:rPr>
          <w:rFonts w:eastAsiaTheme="minorEastAsia"/>
          <w:i/>
        </w:rPr>
        <w:t>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12"/>
      </w:r>
      <w:r w:rsidR="004E6BF1">
        <w:rPr>
          <w:rFonts w:eastAsiaTheme="minorEastAsia"/>
        </w:rPr>
        <w:t>, e possiamo modellare la probabilità che un evento a due uscite accada come:</w:t>
      </w:r>
    </w:p>
    <w:p w14:paraId="38655BEC" w14:textId="5F226520" w:rsidR="004E6BF1" w:rsidRPr="004E6BF1" w:rsidRDefault="00693B95" w:rsidP="008F69D4">
      <w:pPr>
        <w:rPr>
          <w:rFonts w:eastAsiaTheme="minorEastAsia"/>
        </w:rPr>
      </w:pPr>
      <m:oMathPara>
        <m:oMath>
          <m:r>
            <w:rPr>
              <w:rFonts w:ascii="Cambria Math" w:hAnsi="Cambria Math"/>
            </w:rPr>
            <w:lastRenderedPageBreak/>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π(x)</m:t>
                  </m:r>
                </m:num>
                <m:den>
                  <m:r>
                    <w:rPr>
                      <w:rFonts w:ascii="Cambria Math" w:hAnsi="Cambria Math"/>
                      <w:sz w:val="24"/>
                    </w:rPr>
                    <m:t>1-π(x)</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rPr>
              </m:ctrlPr>
            </m:sSubPr>
            <m:e>
              <m:r>
                <w:rPr>
                  <w:rFonts w:ascii="Cambria Math" w:hAnsi="Cambria Math"/>
                </w:rPr>
                <m:t>X</m:t>
              </m:r>
            </m:e>
            <m:sub>
              <m:r>
                <w:rPr>
                  <w:rFonts w:ascii="Cambria Math" w:hAnsi="Cambria Math"/>
                </w:rPr>
                <m:t>j</m:t>
              </m:r>
            </m:sub>
          </m:sSub>
        </m:oMath>
      </m:oMathPara>
    </w:p>
    <w:p w14:paraId="6F56E1DC" w14:textId="7099116A" w:rsidR="004E6BF1" w:rsidRDefault="004E6BF1" w:rsidP="008F69D4">
      <w:pPr>
        <w:rPr>
          <w:rFonts w:eastAsiaTheme="minorEastAsia"/>
        </w:rPr>
      </w:pPr>
      <w:r>
        <w:rPr>
          <w:rFonts w:eastAsiaTheme="minorEastAsia"/>
        </w:rPr>
        <w:t xml:space="preserve">dove quindi il LOGIT è una funzione lineare che dipende da </w:t>
      </w:r>
      <w:r w:rsidRPr="004E6BF1">
        <w:rPr>
          <w:rFonts w:eastAsiaTheme="minorEastAsia"/>
          <w:i/>
        </w:rPr>
        <w:t>p</w:t>
      </w:r>
      <w:r>
        <w:rPr>
          <w:rFonts w:eastAsiaTheme="minorEastAsia"/>
        </w:rPr>
        <w:t xml:space="preserve"> variabili indipendenti e una intercetta, </w:t>
      </w:r>
      <w:r w:rsidRPr="004E6BF1">
        <w:rPr>
          <w:rFonts w:eastAsiaTheme="minorEastAsia"/>
          <w:i/>
        </w:rPr>
        <w:t xml:space="preserve">p + 1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4696CFF8" w14:textId="5CF8B685" w:rsidR="00796693" w:rsidRDefault="00796693" w:rsidP="008F69D4">
      <w:pPr>
        <w:rPr>
          <w:rFonts w:eastAsiaTheme="minorEastAsia"/>
        </w:rPr>
      </w:pPr>
      <w:r>
        <w:rPr>
          <w:rFonts w:eastAsiaTheme="minorEastAsia"/>
        </w:rPr>
        <w:t>Ricorda la differenza tra coefficiente reale e stimato</w:t>
      </w:r>
    </w:p>
    <w:p w14:paraId="00C1B14A" w14:textId="49861390" w:rsidR="006C7EEC" w:rsidRDefault="00076F71" w:rsidP="006C7EEC">
      <w:pPr>
        <w:pStyle w:val="Titolo3"/>
        <w:rPr>
          <w:rFonts w:eastAsiaTheme="minorEastAsia"/>
        </w:rPr>
      </w:pPr>
      <w:r>
        <w:rPr>
          <w:rFonts w:eastAsiaTheme="minorEastAsia"/>
        </w:rPr>
        <w:t>Analisi campionaria</w:t>
      </w:r>
    </w:p>
    <w:p w14:paraId="2486EC7B" w14:textId="3230F1BE" w:rsidR="00076F71" w:rsidRDefault="00076F71" w:rsidP="00076F71">
      <w:pPr>
        <w:rPr>
          <w:rFonts w:eastAsiaTheme="minorEastAsia"/>
        </w:rPr>
      </w:pPr>
      <w:r>
        <w:t xml:space="preserve">Poiché l’analisi statistica si rivolge quasi sempre a campioni estratti dalla popolazione e non alla totalità di essa, il valore dei coefficienti potrà essere soltanto stimato, e non calcolato. Se anche vige l’assunzione che la vera funzione che spiega il fenomeno è la funzione logistica, lo studioso non potrà altro che stimare a partire da un campione i coefficienti, e quindi predire l’uscita della variabile dipendente Y soltanto a partire da quelle stime campionarie, sui cui poi verranno applicate le tecniche di inferenza statistica per estendere quanto più possibile le conclusioni all’intera popolazione, secondo un certo grado di incertezza. Denoteremo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Pr>
          <w:rFonts w:eastAsiaTheme="minorEastAsia"/>
        </w:rPr>
        <w:t xml:space="preserve">il coefficiente stimato della j-esima variabile, e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Pr>
          <w:rFonts w:eastAsiaTheme="minorEastAsia"/>
        </w:rPr>
        <w:t xml:space="preserve"> la predizione della variabile indipende </w:t>
      </w:r>
      <w:r w:rsidRPr="00076F71">
        <w:rPr>
          <w:rFonts w:eastAsiaTheme="minorEastAsia"/>
          <w:i/>
        </w:rPr>
        <w:t>Y</w:t>
      </w:r>
      <w:r>
        <w:rPr>
          <w:rFonts w:eastAsiaTheme="minorEastAsia"/>
        </w:rPr>
        <w:t xml:space="preserve"> relativa alla i-esima osservazione, ottenuta con l’uso dei coefficienti stimati.</w:t>
      </w:r>
    </w:p>
    <w:p w14:paraId="1AB6CD22" w14:textId="71E85349" w:rsidR="00425719" w:rsidRDefault="00425719" w:rsidP="00425719">
      <w:pPr>
        <w:pStyle w:val="Titolo3"/>
      </w:pPr>
      <w:r>
        <w:rPr>
          <w:rFonts w:eastAsiaTheme="minorEastAsia"/>
        </w:rPr>
        <w:t>La stima tramite il metodo della massima verosimiglianza</w:t>
      </w:r>
    </w:p>
    <w:p w14:paraId="254A7719" w14:textId="6D17A493" w:rsidR="008B0EDD" w:rsidRPr="008B0EDD" w:rsidRDefault="00425719" w:rsidP="008B0EDD">
      <w:r>
        <w:t xml:space="preserve">Esistono varie tecniche per stimare i coefficienti di un modello. Nella regressione lineare il metodo più usato è il famoso OLS, </w:t>
      </w:r>
      <w:r w:rsidRPr="00425719">
        <w:rPr>
          <w:i/>
        </w:rPr>
        <w:t>ordinary least square</w:t>
      </w:r>
      <w:r>
        <w:rPr>
          <w:i/>
        </w:rPr>
        <w:t>s</w:t>
      </w:r>
      <w:r>
        <w:t>, il metodo dei minimi quadrati</w:t>
      </w:r>
      <w:r w:rsidR="00EC26CE">
        <w:t>. Nella regressione logistica, poiché non vige l’ipotesi di omoschedasticità, questa tecnica non si può usare</w:t>
      </w:r>
      <w:r w:rsidR="00EC26CE">
        <w:rPr>
          <w:rStyle w:val="Rimandonotaapidipagina"/>
        </w:rPr>
        <w:footnoteReference w:id="13"/>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w:t>
      </w:r>
      <w:r>
        <w:lastRenderedPageBreak/>
        <w:t>è la probabilità che venga estratto dalla popolazione proprio il campione che stiamo analizzando; poi, tramite tecniche matematiche, risolvere l’equazione e dare un valore ai coefficienti col fine di massimizzare questa uscita.</w:t>
      </w:r>
      <w:r w:rsidR="00DC670C">
        <w:t xml:space="preserve"> La massima verosimiglianza è una tecnica ampiamente usata, e invero la stima tramite OLS ne è un sottoinsieme</w:t>
      </w:r>
      <w:r w:rsidR="00DC670C">
        <w:rPr>
          <w:rStyle w:val="Rimandonotaapidipagina"/>
        </w:rPr>
        <w:footnoteReference w:id="14"/>
      </w:r>
      <w:r w:rsidR="00DC670C">
        <w:t>.</w:t>
      </w:r>
      <w:r w:rsidR="00E16999">
        <w:t xml:space="preserve"> I dettagli matematici della funzione di massima verosimiglianza sono aldilà dello scopo di questo elaborato, basti aggiungere che trasformandosi la sua massimizzazione in un set di q equazioni per p parametri incogniti, la si può risolvere solo con metodi iterativi (ad esempio Fisher</w:t>
      </w:r>
      <w:r w:rsidR="00E16999">
        <w:rPr>
          <w:rStyle w:val="Rimandonotaapidipagina"/>
        </w:rPr>
        <w:footnoteReference w:id="15"/>
      </w:r>
      <w:r w:rsidR="00E16999">
        <w:t>).</w:t>
      </w:r>
      <w:r w:rsidR="008B0EDD">
        <w:t xml:space="preserve"> </w:t>
      </w:r>
      <w:r w:rsidR="008B0EDD" w:rsidRPr="008B0EDD">
        <w:t>Asintoticamente, sotto condizioni non particolarmente restrittive, gli stimatori di massima verosimiglianza sono corretti, normodistribuiti ed efficienti</w:t>
      </w:r>
      <w:r w:rsidR="008B0EDD">
        <w:rPr>
          <w:rStyle w:val="Rimandonotaapidipagina"/>
        </w:rPr>
        <w:footnoteReference w:id="16"/>
      </w:r>
      <w:r w:rsidR="008B0EDD" w:rsidRPr="008B0EDD">
        <w:t xml:space="preserve">. </w:t>
      </w:r>
    </w:p>
    <w:p w14:paraId="21E943B6" w14:textId="744C391C" w:rsidR="00076F71" w:rsidRDefault="00076F71" w:rsidP="00076F71"/>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408CC2CD"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m:oMathPara>
    </w:p>
    <w:p w14:paraId="58CC0303" w14:textId="58FE7998" w:rsidR="00E531A6" w:rsidRDefault="00E531A6" w:rsidP="00E531A6">
      <w:pPr>
        <w:rPr>
          <w:rFonts w:eastAsiaTheme="minorEastAsia"/>
        </w:rPr>
      </w:pPr>
      <m:oMath>
        <m:r>
          <w:rPr>
            <w:rFonts w:ascii="Cambria Math" w:hAnsi="Cambria Math"/>
          </w:rPr>
          <m:t>α</m:t>
        </m:r>
      </m:oMath>
      <w:r>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eastAsiaTheme="minorEastAsia"/>
        </w:rPr>
        <w:t xml:space="preserve">, proprio come nella regressione lineare. L’aumento del </w:t>
      </w:r>
      <w:r w:rsidR="00D32302">
        <w:rPr>
          <w:rFonts w:eastAsiaTheme="minorEastAsia"/>
        </w:rPr>
        <w:t xml:space="preserve">LOGIT </w:t>
      </w:r>
      <w:r>
        <w:rPr>
          <w:rFonts w:eastAsiaTheme="minorEastAsia"/>
        </w:rPr>
        <w:t>significa generalmente un aumento delle probabilità a favore, anche se rimane una interpretazione non troppo concreta</w:t>
      </w:r>
      <w:r>
        <w:rPr>
          <w:rStyle w:val="Rimandonotaapidipagina"/>
          <w:rFonts w:eastAsiaTheme="minorEastAsia"/>
        </w:rPr>
        <w:footnoteReference w:id="17"/>
      </w:r>
      <w:r>
        <w:rPr>
          <w:rFonts w:eastAsiaTheme="minorEastAsia"/>
        </w:rPr>
        <w:t>. Se tuttavia facciamo una trasformazione esponenziale, allora l’equazione diventa</w:t>
      </w:r>
    </w:p>
    <w:p w14:paraId="64F2C630" w14:textId="77777777" w:rsidR="00E531A6" w:rsidRPr="00396EC4" w:rsidRDefault="00E51A3D"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sup>
          </m:sSup>
        </m:oMath>
      </m:oMathPara>
    </w:p>
    <w:p w14:paraId="266CCC02" w14:textId="71A88998" w:rsidR="00396EC4" w:rsidRDefault="00396EC4" w:rsidP="00E531A6">
      <w:pPr>
        <w:rPr>
          <w:rFonts w:eastAsiaTheme="minorEastAsia"/>
        </w:rPr>
      </w:pPr>
      <w:r>
        <w:rPr>
          <w:rFonts w:eastAsiaTheme="minorEastAsia"/>
        </w:rPr>
        <w:lastRenderedPageBreak/>
        <w:t xml:space="preserve">Allora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B25B85">
        <w:rPr>
          <w:rFonts w:eastAsiaTheme="minorEastAsia"/>
        </w:rPr>
        <w:t>si risolverebbe così:</w:t>
      </w:r>
    </w:p>
    <w:p w14:paraId="1A719921" w14:textId="77777777" w:rsidR="00B25B85" w:rsidRPr="000843AD" w:rsidRDefault="00E51A3D"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X</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329CBE62" w:rsidR="00E531A6" w:rsidRDefault="00E531A6" w:rsidP="00E531A6">
      <w:pPr>
        <w:rPr>
          <w:rFonts w:eastAsiaTheme="minorEastAsia"/>
        </w:rPr>
      </w:pPr>
      <w:r>
        <w:rPr>
          <w:rFonts w:eastAsiaTheme="minorEastAsia"/>
        </w:rPr>
        <w:t xml:space="preserve">e quindi </w:t>
      </w:r>
      <m:oMath>
        <m:sSub>
          <m:sSubPr>
            <m:ctrlPr>
              <w:rPr>
                <w:rFonts w:ascii="Cambria Math" w:hAnsi="Cambria Math"/>
              </w:rPr>
            </m:ctrlPr>
          </m:sSubPr>
          <m:e>
            <m:r>
              <w:rPr>
                <w:rFonts w:ascii="Cambria Math" w:hAnsi="Cambria Math"/>
              </w:rPr>
              <m:t>β</m:t>
            </m:r>
          </m:e>
          <m:sub>
            <m:r>
              <w:rPr>
                <w:rFonts w:ascii="Cambria Math" w:hAnsi="Cambria Math"/>
              </w:rPr>
              <m:t>1</m:t>
            </m:r>
          </m:sub>
        </m:sSub>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02A8B15A" w:rsidR="00E531A6" w:rsidRPr="00123923" w:rsidRDefault="00B25B85" w:rsidP="00E531A6">
      <w:r>
        <w:rPr>
          <w:rFonts w:eastAsiaTheme="minorEastAsia"/>
        </w:rPr>
        <w:t>Nel mondo reale di solito i fenomeni sono multivariati</w:t>
      </w:r>
      <w:r>
        <w:rPr>
          <w:rStyle w:val="Rimandonotaapidipagina"/>
          <w:rFonts w:eastAsiaTheme="minorEastAsia"/>
        </w:rPr>
        <w:footnoteReference w:id="18"/>
      </w:r>
      <w:r w:rsidR="00E531A6">
        <w:rPr>
          <w:rFonts w:eastAsiaTheme="minorEastAsia"/>
        </w:rPr>
        <w:t xml:space="preserve"> </w:t>
      </w:r>
      <w:r>
        <w:rPr>
          <w:rFonts w:eastAsiaTheme="minorEastAsia"/>
        </w:rPr>
        <w:t xml:space="preserve">, e quindi il modello logistico conterrà </w:t>
      </w:r>
      <w:r>
        <w:rPr>
          <w:rFonts w:eastAsiaTheme="minorEastAsia"/>
          <w:i/>
        </w:rPr>
        <w:t xml:space="preserve">p + 1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r w:rsidR="00FC414C" w:rsidRPr="00FC414C">
        <w:rPr>
          <w:rFonts w:eastAsiaTheme="minorEastAsia"/>
          <w:i/>
        </w:rPr>
        <w:t>adjusted</w:t>
      </w:r>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19"/>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Nella costruzione di un modello predittivo tramite la regressione logistica l’obiettivo di un test di ipotesi è capire quanto probabile possa essere, sotto certe assunzioni, che un regressore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20"/>
      </w:r>
      <w:r>
        <w:t>. Esistono due approcci fondamentali al test di ipotesi dei coefficienti nella regressione logistica: il test rapporto di verosimiglianza e il test di Wald.</w:t>
      </w:r>
      <w:r w:rsidR="007F4185">
        <w:t xml:space="preserve"> Entrambi assumono come ipotesi nulla che alcuni coefficienti del modello siano pari a zero; se l’ipotesi viene rigettata, significa che il regressore associato a quel coefficiente è utile al modello.</w:t>
      </w:r>
    </w:p>
    <w:p w14:paraId="3698694B" w14:textId="6BB40F74" w:rsidR="007F4185" w:rsidRDefault="007F4185" w:rsidP="002A5A3C">
      <w:r>
        <w:t>Vediamoli entrambi nel dettaglio.</w:t>
      </w:r>
    </w:p>
    <w:p w14:paraId="3ED77BC5" w14:textId="5155625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363CC6">
        <w:lastRenderedPageBreak/>
        <w:t>che contiene più parametri, e il modello ridotto, che ne contiene di meno</w:t>
      </w:r>
      <w:r w:rsidR="00363CC6">
        <w:rPr>
          <w:rStyle w:val="Rimandonotaapidipagina"/>
        </w:rPr>
        <w:footnoteReference w:id="21"/>
      </w:r>
      <w:r w:rsidR="00363CC6">
        <w:t>. I parametri assenti dal secondo – perché assunti come aventi coefficienti pari a zero -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L, </w:t>
      </w:r>
      <w:r w:rsidR="00CC21DA" w:rsidRPr="00CC21DA">
        <w:rPr>
          <w:i/>
        </w:rPr>
        <w:t>likelihood</w:t>
      </w:r>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61961232" w:rsidR="00363CC6" w:rsidRDefault="00363CC6" w:rsidP="00363CC6">
      <m:oMathPara>
        <m:oMath>
          <m:r>
            <w:rPr>
              <w:rFonts w:ascii="Cambria Math" w:hAnsi="Cambria Math"/>
            </w:rPr>
            <m:t>G=-2ln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con più variabili)</m:t>
                  </m:r>
                </m:num>
                <m:den>
                  <m:r>
                    <w:rPr>
                      <w:rFonts w:ascii="Cambria Math" w:hAnsi="Cambria Math"/>
                    </w:rPr>
                    <m:t>L(modello con meno variabili)</m:t>
                  </m:r>
                </m:den>
              </m:f>
            </m:e>
          </m:d>
          <m:r>
            <w:rPr>
              <w:rStyle w:val="Rimandonotaapidipagina"/>
              <w:rFonts w:ascii="Cambria Math" w:hAnsi="Cambria Math"/>
              <w:i/>
            </w:rPr>
            <w:footnoteReference w:id="22"/>
          </m:r>
        </m:oMath>
      </m:oMathPara>
    </w:p>
    <w:p w14:paraId="51E22328" w14:textId="6DE9DC08" w:rsidR="00363CC6" w:rsidRDefault="00363CC6" w:rsidP="00363CC6">
      <w:r>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gradi di libertà pari al numero di parametri di differenza tra i due modelli. Sapendo ciò, sarà immediato verificare, dato un certo livello di significatività del test (usualmente </w:t>
      </w:r>
      <m:oMath>
        <m:r>
          <w:rPr>
            <w:rFonts w:ascii="Cambria Math" w:hAnsi="Cambria Math"/>
          </w:rPr>
          <m:t>α=0.05</m:t>
        </m:r>
      </m:oMath>
      <w:r>
        <w:t xml:space="preserve">), quanto probabile sia sotto l’ipotesi nulla osservare un valore di </w:t>
      </w:r>
      <w:r w:rsidR="004E72C8">
        <w:t>G diverso</w:t>
      </w:r>
      <w:r>
        <w:t xml:space="preserve"> da zero. Se questa probabilità è inferiore allivello di significatività, l’ipotesi nul</w:t>
      </w:r>
      <w:r w:rsidR="004E72C8">
        <w:t>la viene rigettata e i parametri inclusi</w:t>
      </w:r>
      <w:r>
        <w:t xml:space="preserve"> nel modello.</w:t>
      </w:r>
    </w:p>
    <w:p w14:paraId="50D7610D" w14:textId="3BBB32D1" w:rsidR="00E4744F" w:rsidRPr="00F94962" w:rsidRDefault="00E4744F" w:rsidP="00363CC6">
      <w:r>
        <w:t>Il test di Wald</w:t>
      </w:r>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23"/>
      </w:r>
      <w:r w:rsidR="00105287">
        <w:t xml:space="preserve">. Basterà quindi utilizzare la statistica test </w:t>
      </w:r>
      <w:r w:rsidR="00105287" w:rsidRPr="00105287">
        <w:rPr>
          <w:i/>
        </w:rPr>
        <w:t>Z</w:t>
      </w:r>
      <w:r w:rsidR="00105287" w:rsidRPr="007600F8">
        <w:rPr>
          <w:rStyle w:val="Rimandonotaapidipagina"/>
        </w:rPr>
        <w:footnoteReference w:id="24"/>
      </w:r>
      <w:r w:rsidR="00F94962">
        <w:rPr>
          <w:i/>
        </w:rPr>
        <w:t xml:space="preserve"> </w:t>
      </w:r>
      <w:r w:rsidR="00F94962">
        <w:t>per rigettare o meno l’ipotesi nulla che il coefficiente sia diverso da zero.</w:t>
      </w:r>
    </w:p>
    <w:p w14:paraId="52B06910" w14:textId="6D96733D" w:rsidR="007F4185" w:rsidRDefault="00F94962" w:rsidP="002A5A3C">
      <w:r>
        <w:t xml:space="preserve">Per completezza, andrebbe aperta una digressione sull’incremento della probabilità di errore nel test di ipotesi quando si effettuano test multipli (come nel caso di più coefficienti da testare). L’errore di tipo I è la probabilità di rigettare l’ipotesi nulla quando questa è vera, ed è pari ad </w:t>
      </w:r>
      <m:oMath>
        <m:r>
          <w:rPr>
            <w:rFonts w:ascii="Cambria Math" w:hAnsi="Cambria Math"/>
          </w:rPr>
          <m:t>α= 0.05</m:t>
        </m:r>
      </m:oMath>
      <w:r>
        <w:t xml:space="preserve">. La probabilità di non commettere nessun errore è quindi pari a 0.95. Questa probabilità è chiamata </w:t>
      </w:r>
      <w:r>
        <w:lastRenderedPageBreak/>
        <w:t>FWER (</w:t>
      </w:r>
      <w:r w:rsidRPr="00F94962">
        <w:rPr>
          <w:i/>
        </w:rPr>
        <w:t>family wise error rate</w:t>
      </w:r>
      <w:r>
        <w:t>)</w:t>
      </w:r>
      <w:r>
        <w:rPr>
          <w:rStyle w:val="Rimandonotaapidipagina"/>
        </w:rPr>
        <w:footnoteReference w:id="25"/>
      </w:r>
      <w:r>
        <w:t xml:space="preserve"> e si può esprimere come Pr(rigettare almeno una ipotesi nulla | tutte le ipotesi nulle sono vere). Matematicamente si esprime come:</w:t>
      </w:r>
    </w:p>
    <w:p w14:paraId="1226B4D7" w14:textId="568564AC" w:rsidR="00BC1B50" w:rsidRDefault="00BC1B50" w:rsidP="00BC1B50">
      <w:pPr>
        <w:jc w:val="center"/>
      </w:pPr>
      <w:r>
        <w:t xml:space="preserve">FWER = </w:t>
      </w:r>
      <m:oMath>
        <m:r>
          <w:rPr>
            <w:rFonts w:ascii="Cambria Math" w:hAnsi="Cambria Math"/>
          </w:rPr>
          <m:t>1-(1-α</m:t>
        </m:r>
        <m:sSup>
          <m:sSupPr>
            <m:ctrlPr>
              <w:rPr>
                <w:rFonts w:ascii="Cambria Math" w:hAnsi="Cambria Math"/>
              </w:rPr>
            </m:ctrlPr>
          </m:sSupPr>
          <m:e>
            <m:r>
              <w:rPr>
                <w:rFonts w:ascii="Cambria Math" w:hAnsi="Cambria Math"/>
              </w:rPr>
              <m:t>)</m:t>
            </m:r>
          </m:e>
          <m:sup>
            <m:r>
              <w:rPr>
                <w:rFonts w:ascii="Cambria Math" w:hAnsi="Cambria Math"/>
              </w:rPr>
              <m:t>T</m:t>
            </m:r>
          </m:sup>
        </m:sSup>
      </m:oMath>
      <w:r>
        <w:rPr>
          <w:rFonts w:eastAsiaTheme="minorEastAsia"/>
        </w:rPr>
        <w:t xml:space="preserve"> </w:t>
      </w:r>
      <w:r>
        <w:rPr>
          <w:rStyle w:val="Rimandonotaapidipagina"/>
          <w:rFonts w:eastAsiaTheme="minorEastAsia"/>
        </w:rPr>
        <w:footnoteReference w:id="26"/>
      </w:r>
    </w:p>
    <w:p w14:paraId="17994270" w14:textId="2C757547" w:rsidR="00F94962" w:rsidRDefault="00BC1B50" w:rsidP="002A5A3C">
      <w:r>
        <w:t>dove T = numero di test eseguiti. Al crescere di questo cresce il FWER.</w:t>
      </w:r>
    </w:p>
    <w:p w14:paraId="58358C8E" w14:textId="77EAFCE8" w:rsidR="002A5A3C" w:rsidRDefault="00BC1B50" w:rsidP="002A5A3C">
      <w:r>
        <w:t xml:space="preserve">Esistono procedure di aggiustamento del livello di significatività che tengono conto di questo fenomeno, la più famosa delle quali è il metodo Bonferroni, che consiste nel diminuire in livello di significatività del test dividendo quello stabilito per T </w:t>
      </w:r>
      <w:r>
        <w:rPr>
          <w:rStyle w:val="Rimandonotaapidipagina"/>
        </w:rPr>
        <w:footnoteReference w:id="27"/>
      </w:r>
      <w:r>
        <w:t>. Il rischio è rendere troppo difficile il rigetto dell’ipotesi nulla</w:t>
      </w:r>
      <w:r w:rsidR="00766730">
        <w:t xml:space="preserve"> </w:t>
      </w:r>
      <w:r w:rsidR="00766730">
        <w:rPr>
          <w:rStyle w:val="Rimandonotaapidipagina"/>
        </w:rPr>
        <w:footnoteReference w:id="28"/>
      </w:r>
      <w:r>
        <w:t>.</w:t>
      </w:r>
    </w:p>
    <w:p w14:paraId="758F080C" w14:textId="7EFD25A6" w:rsidR="00EC26CE" w:rsidRDefault="00AF2C34" w:rsidP="0013503A">
      <w:pPr>
        <w:pStyle w:val="Titolo1"/>
      </w:pPr>
      <w:r>
        <w:t>Valutazione della bontà di adattamento ai dati del modello</w:t>
      </w:r>
    </w:p>
    <w:p w14:paraId="6D3AFAD2" w14:textId="77777777" w:rsidR="00287C4F" w:rsidRDefault="0013503A" w:rsidP="00287C4F">
      <w:r>
        <w:t>Esiste una differenza sostanziale tra statistiche test atte a testare la bontà di adattamento ai dati di un modello e misure del potere predittivo dello stesso modello</w:t>
      </w:r>
      <w:r>
        <w:rPr>
          <w:rStyle w:val="Rimandonotaapidipagina"/>
        </w:rPr>
        <w:footnoteReference w:id="29"/>
      </w:r>
      <w:r>
        <w:t>. Come misure del potere predittivo di una regressione logistica sono utilizzate, tra le altre, differenti versioni di R  quadro e l’AUC (</w:t>
      </w:r>
      <w:r w:rsidRPr="0013503A">
        <w:rPr>
          <w:i/>
        </w:rPr>
        <w:t>area under the curve</w:t>
      </w:r>
      <w:r>
        <w:t xml:space="preserve">) </w:t>
      </w:r>
      <w:r>
        <w:rPr>
          <w:rStyle w:val="Rimandonotaapidipagina"/>
        </w:rPr>
        <w:footnoteReference w:id="30"/>
      </w:r>
      <w:r>
        <w:t>. È fuori dallo scopo di questo elaborato approfondire le argomentazioni a favore di una certa versione dell’R quadro piuttosto che un’altra (ne sono state individuate almeno 12, di cui le più importanti qualla di Mc fadden e quella di Cox e Snell). Nella nostra ricerca useremo l’AUC,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0AB5307F" w:rsidR="001E2C42" w:rsidRDefault="001E2C42" w:rsidP="00287C4F">
      <w:pPr>
        <w:pStyle w:val="Titolo3"/>
      </w:pPr>
      <w:r>
        <w:lastRenderedPageBreak/>
        <w:t>La devianza</w:t>
      </w:r>
    </w:p>
    <w:p w14:paraId="6C019968" w14:textId="684B9609" w:rsidR="002666C2" w:rsidRDefault="002666C2" w:rsidP="002666C2">
      <w:r>
        <w:t xml:space="preserve">Stimato un modello, si può dire che si adatti bene ai dati se, trovata una misura dello scarto tra valore stimato e valore osservato, la misura complessiva per le </w:t>
      </w:r>
      <w:r w:rsidRPr="002666C2">
        <w:rPr>
          <w:i/>
        </w:rPr>
        <w:t>n</w:t>
      </w:r>
      <w:r>
        <w:t xml:space="preserve"> unità statistiche analizzate è molto piccola, </w:t>
      </w:r>
      <w:r w:rsidRPr="002666C2">
        <w:t>e se il contributo dell’i-esimo confronto a tale misura rientra nei limiti della variabilità intrinseca del fenomeno, descritta dal termine d’errore del modello</w:t>
      </w:r>
      <w:r>
        <w:rPr>
          <w:rFonts w:ascii="MS Mincho" w:eastAsia="MS Mincho" w:hAnsi="MS Mincho" w:cs="MS Mincho"/>
        </w:rPr>
        <w:t>.</w:t>
      </w:r>
      <w:r>
        <w:t xml:space="preserve"> </w:t>
      </w:r>
    </w:p>
    <w:p w14:paraId="27094721" w14:textId="57439015" w:rsidR="00A33454" w:rsidRPr="009F67C0" w:rsidRDefault="00F630D3" w:rsidP="002666C2">
      <w:r w:rsidRPr="009F67C0">
        <w:t xml:space="preserve">Nella regressione lineare la bontà di adattamento 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non è associato alla i-esima osservazione, ma al j-esimo gruppo di osservazioni accomunate dalla medesima combinazione di valori delle varabili indipendenti </w:t>
      </w:r>
      <w:r w:rsidR="000644E2" w:rsidRPr="009F67C0">
        <w:t>(</w:t>
      </w:r>
      <w:r w:rsidR="000644E2" w:rsidRPr="009F67C0">
        <w:rPr>
          <w:i/>
        </w:rPr>
        <w:t>covariate pattern</w:t>
      </w:r>
      <w:r w:rsidR="000644E2" w:rsidRPr="009F67C0">
        <w:t xml:space="preserve">) </w:t>
      </w:r>
      <w:r w:rsidR="00A33454" w:rsidRPr="002666C2">
        <w:rPr>
          <w:rStyle w:val="Rimandonotaapidipagina"/>
          <w:color w:val="000000" w:themeColor="text1"/>
        </w:rPr>
        <w:footnoteReference w:id="31"/>
      </w:r>
      <w:r w:rsidR="00A33454" w:rsidRPr="002666C2">
        <w:rPr>
          <w:color w:val="000000" w:themeColor="text1"/>
        </w:rPr>
        <w:t>.</w:t>
      </w:r>
    </w:p>
    <w:p w14:paraId="78C0DD23" w14:textId="62487FDB" w:rsidR="000644E2" w:rsidRDefault="000644E2" w:rsidP="00452108">
      <w:r>
        <w:t xml:space="preserve">Esistono due differenti metodologie per calcolare i residui di un modello di regressione logistica, il residuo di </w:t>
      </w:r>
      <w:r w:rsidRPr="000644E2">
        <w:rPr>
          <w:i/>
        </w:rPr>
        <w:t>Pearson</w:t>
      </w:r>
      <w:r>
        <w:t xml:space="preserve"> e il residuo di </w:t>
      </w:r>
      <w:r w:rsidRPr="000644E2">
        <w:rPr>
          <w:i/>
        </w:rPr>
        <w:t>deviance</w:t>
      </w:r>
      <w:r>
        <w:t>.</w:t>
      </w:r>
    </w:p>
    <w:p w14:paraId="34B7B7DB" w14:textId="1A09892D" w:rsidR="009F67C0" w:rsidRDefault="008C754E" w:rsidP="009F67C0">
      <w:pPr>
        <w:rPr>
          <w:rFonts w:eastAsiaTheme="minorEastAsia"/>
        </w:rPr>
      </w:pPr>
      <w:r>
        <w:t xml:space="preserve">Sia </w:t>
      </w:r>
      <w:r w:rsidRPr="008C754E">
        <w:rPr>
          <w:i/>
        </w:rPr>
        <w:t>j</w:t>
      </w:r>
      <w:r>
        <w:t xml:space="preserve"> il numero di </w:t>
      </w:r>
      <w:r w:rsidRPr="008C754E">
        <w:rPr>
          <w:i/>
        </w:rPr>
        <w:t>covariate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j-esimo covariate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 xml:space="preserve"> </m:t>
        </m:r>
      </m:oMath>
      <w:r w:rsidRPr="008C754E">
        <w:rPr>
          <w:rFonts w:eastAsiaTheme="minorEastAsia"/>
          <w:i/>
        </w:rPr>
        <w:t>k=1,.., j</w:t>
      </w:r>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r w:rsidRPr="008C754E">
        <w:rPr>
          <w:rFonts w:eastAsiaTheme="minorEastAsia"/>
          <w:i/>
        </w:rPr>
        <w:t>covariate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w:r w:rsidRPr="008C754E">
        <w:rPr>
          <w:rFonts w:eastAsiaTheme="minorEastAsia"/>
          <w:i/>
        </w:rPr>
        <w:t>Y = 1</w:t>
      </w:r>
      <w:r w:rsidR="009F67C0">
        <w:rPr>
          <w:rFonts w:eastAsiaTheme="minorEastAsia"/>
        </w:rPr>
        <w:t>, cioè:</w:t>
      </w:r>
    </w:p>
    <w:p w14:paraId="0212C4B9" w14:textId="77777777" w:rsidR="009F67C0" w:rsidRDefault="00E51A3D"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r w:rsidRPr="008C754E">
        <w:rPr>
          <w:i/>
        </w:rPr>
        <w:t>Pearson</w:t>
      </w:r>
      <w:r>
        <w:t xml:space="preserve"> si definisce come:</w:t>
      </w:r>
    </w:p>
    <w:p w14:paraId="5DBAC060" w14:textId="0D7B6E95"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w:rPr>
                          <w:rFonts w:ascii="Cambria Math" w:hAnsi="Cambria Math"/>
                        </w:rPr>
                        <m:t>k</m:t>
                      </m:r>
                    </m:sub>
                  </m:sSub>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(1-</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77777777" w:rsidR="001C6038" w:rsidRDefault="00E51A3D" w:rsidP="001C6038">
      <m:oMathPara>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m:oMathPara>
    </w:p>
    <w:p w14:paraId="7B3B2A24" w14:textId="43B4662B" w:rsidR="001C6038" w:rsidRPr="008C754E" w:rsidRDefault="001C6038" w:rsidP="001C6038">
      <w:pPr>
        <w:ind w:firstLine="0"/>
      </w:pPr>
      <w:r>
        <w:t xml:space="preserve">che per campioni sufficientemente grandi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w:r w:rsidRPr="000644E2">
        <w:rPr>
          <w:i/>
          <w:color w:val="000000" w:themeColor="text1"/>
        </w:rPr>
        <w:t>j</w:t>
      </w:r>
      <w:r w:rsidRPr="002B3AA1">
        <w:rPr>
          <w:i/>
          <w:color w:val="FF0000"/>
        </w:rPr>
        <w:t xml:space="preserve"> </w:t>
      </w:r>
      <w:r w:rsidRPr="006175DB">
        <w:rPr>
          <w:i/>
        </w:rPr>
        <w:t>-(p+1)</w:t>
      </w:r>
      <w:r>
        <w:t xml:space="preserve"> gradi di libertà</w:t>
      </w:r>
      <w:r w:rsidR="00B83858">
        <w:t xml:space="preserve"> </w:t>
      </w:r>
      <w:r w:rsidR="00557E34">
        <w:t xml:space="preserve">(sotto l’ipotesi nulla che il modello stimato si adatta ai dati) </w:t>
      </w:r>
      <w:r w:rsidR="00B83858">
        <w:rPr>
          <w:rStyle w:val="Rimandonotaapidipagina"/>
        </w:rPr>
        <w:footnoteReference w:id="32"/>
      </w:r>
      <w:r w:rsidR="0099414A">
        <w:t>.</w:t>
      </w:r>
    </w:p>
    <w:p w14:paraId="229A050C" w14:textId="72F0BA8F" w:rsidR="0013503A" w:rsidRDefault="00B83858" w:rsidP="00837825">
      <w:r>
        <w:t xml:space="preserve">Per spiegare il residuo di deviance utilizzeremo invece un altro approccio </w:t>
      </w:r>
      <w:r>
        <w:rPr>
          <w:rStyle w:val="Rimandonotaapidipagina"/>
        </w:rPr>
        <w:footnoteReference w:id="33"/>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 xml:space="preserve">Si può dimostrare </w:t>
      </w:r>
      <w:r w:rsidR="00837825">
        <w:rPr>
          <w:rStyle w:val="Rimandonotaapidipagina"/>
        </w:rPr>
        <w:footnoteReference w:id="34"/>
      </w:r>
      <w:r w:rsidR="00C4384F">
        <w:t xml:space="preserve"> </w:t>
      </w:r>
      <w:r w:rsidR="00B61F55">
        <w:t xml:space="preserve">che </w:t>
      </w:r>
      <w:r w:rsidR="00837825">
        <w:t>l</w:t>
      </w:r>
      <w:r w:rsidR="00A85033">
        <w:t xml:space="preserve">a devianza è una statistica test </w:t>
      </w:r>
      <w:r w:rsidR="00837825">
        <w:t>risultante dalla</w:t>
      </w:r>
      <w:r w:rsidR="00A85033">
        <w:t xml:space="preserve"> differenza tra il valore di massima verosimiglianza del modello saturato (il modello che include tutte le variabili e i possibili effetti di interazione tra loro) e il valore di massima verosimiglianza del modello da testare:</w:t>
      </w:r>
    </w:p>
    <w:p w14:paraId="4633CC22" w14:textId="1D2DA7D1" w:rsidR="002A1CCF" w:rsidRDefault="002A1CCF" w:rsidP="002A1CCF">
      <w:pPr>
        <w:jc w:val="center"/>
      </w:pPr>
      <m:oMathPara>
        <m:oMath>
          <m:r>
            <w:rPr>
              <w:rFonts w:ascii="Cambria Math" w:hAnsi="Cambria Math"/>
            </w:rPr>
            <m:t>Dev=-2ln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72843F4D"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w:r w:rsidR="002B3AA1" w:rsidRPr="000644E2">
        <w:rPr>
          <w:i/>
          <w:color w:val="000000" w:themeColor="text1"/>
        </w:rPr>
        <w:t>j</w:t>
      </w:r>
      <w:r w:rsidR="002B3AA1" w:rsidRPr="002B3AA1">
        <w:rPr>
          <w:i/>
          <w:color w:val="FF0000"/>
        </w:rPr>
        <w:t xml:space="preserve"> </w:t>
      </w:r>
      <w:r w:rsidRPr="006175DB">
        <w:rPr>
          <w:i/>
        </w:rPr>
        <w:t>-(p+1)</w:t>
      </w:r>
      <w:r>
        <w:t xml:space="preserve"> gradi di libertà.</w:t>
      </w:r>
      <w:r w:rsidR="000F62D6">
        <w:t xml:space="preserve"> </w:t>
      </w:r>
      <w:r w:rsidR="00C82670">
        <w:t>Data l’ipotesi nulla:</w:t>
      </w:r>
    </w:p>
    <w:p w14:paraId="641673A0" w14:textId="438CD764" w:rsidR="00F54A3D" w:rsidRDefault="00E51A3D"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r>
              <m:rPr>
                <m:sty m:val="bi"/>
              </m:rPr>
              <w:rPr>
                <w:rFonts w:ascii="Cambria Math" w:hAnsi="Cambria Math"/>
              </w:rPr>
              <m:t>β</m:t>
            </m:r>
          </m:e>
        </m:acc>
        <m:r>
          <w:rPr>
            <w:rFonts w:ascii="Cambria Math" w:hAnsi="Cambria Math"/>
          </w:rPr>
          <m:t>=0</m:t>
        </m:r>
      </m:oMath>
    </w:p>
    <w:p w14:paraId="52FA36D5" w14:textId="77777777" w:rsidR="00F54A3D" w:rsidRDefault="00F54A3D" w:rsidP="002A1CCF">
      <w:pPr>
        <w:ind w:firstLine="0"/>
      </w:pPr>
    </w:p>
    <w:p w14:paraId="2CE7CF05" w14:textId="23903795" w:rsidR="001E2C42" w:rsidRDefault="001E2C42" w:rsidP="002A1CCF">
      <w:pPr>
        <w:ind w:firstLine="0"/>
      </w:pPr>
      <w:r>
        <w:t xml:space="preserve">dove </w:t>
      </w:r>
      <m:oMath>
        <m:acc>
          <m:accPr>
            <m:chr m:val="^"/>
            <m:ctrlPr>
              <w:rPr>
                <w:rFonts w:ascii="Cambria Math" w:hAnsi="Cambria Math"/>
                <w:b/>
              </w:rPr>
            </m:ctrlPr>
          </m:accPr>
          <m:e>
            <m:r>
              <m:rPr>
                <m:sty m:val="bi"/>
              </m:rPr>
              <w:rPr>
                <w:rFonts w:ascii="Cambria Math" w:hAnsi="Cambria Math"/>
              </w:rPr>
              <m:t>β</m:t>
            </m:r>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p-value</w:t>
      </w:r>
      <w:r>
        <w:t xml:space="preserve"> sotto il livello di significatività </w:t>
      </w:r>
      <m:oMath>
        <m:r>
          <w:rPr>
            <w:rFonts w:ascii="Cambria Math" w:hAnsi="Cambria Math"/>
          </w:rPr>
          <m:t>α</m:t>
        </m:r>
      </m:oMath>
      <w:r>
        <w:rPr>
          <w:rFonts w:eastAsiaTheme="minorEastAsia"/>
        </w:rPr>
        <w:t xml:space="preserve"> ci indurrebbe a rigettare l’ipotesi e quindi a concludere che il modello saturo non fornisce un contributo significativamente migliore del nostro modello. La bontà di adattamento infatti testa non il potere predittivo del modello, ma se un modello </w:t>
      </w:r>
      <w:r>
        <w:rPr>
          <w:rFonts w:eastAsiaTheme="minorEastAsia"/>
        </w:rPr>
        <w:lastRenderedPageBreak/>
        <w:t>con più termini di interazione (piuttosto che con una funzione link differente) possa performare ancora meglio in termini di residui</w:t>
      </w:r>
      <w:r>
        <w:rPr>
          <w:rStyle w:val="Rimandonotaapidipagina"/>
          <w:rFonts w:eastAsiaTheme="minorEastAsia"/>
        </w:rPr>
        <w:footnoteReference w:id="35"/>
      </w:r>
      <w:r>
        <w:rPr>
          <w:rFonts w:eastAsiaTheme="minorEastAsia"/>
        </w:rPr>
        <w:t>.</w:t>
      </w:r>
    </w:p>
    <w:p w14:paraId="55874FCF" w14:textId="5ACF3F44" w:rsidR="00A85033" w:rsidRPr="00C82670" w:rsidRDefault="00000FFC" w:rsidP="001E2C42">
      <w:r>
        <w:t xml:space="preserve">Ora, per le due statistiche sulla bontà di adattamento finora viste, </w:t>
      </w:r>
      <w:r w:rsidR="006C17B7">
        <w:t>la statistica chi-quadrato</w:t>
      </w:r>
      <w:r>
        <w:t xml:space="preserve"> di </w:t>
      </w:r>
      <w:r w:rsidRPr="00000FFC">
        <w:rPr>
          <w:i/>
        </w:rPr>
        <w:t>Pearson</w:t>
      </w:r>
      <w:r>
        <w:t xml:space="preserve"> e </w:t>
      </w:r>
      <w:r w:rsidR="006C17B7">
        <w:t xml:space="preserve">la </w:t>
      </w:r>
      <w:r w:rsidR="00345BCC">
        <w:t>devianza,</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inferiore rispetto alla grandezza del campione </w:t>
      </w:r>
      <w:commentRangeStart w:id="9"/>
      <w:r w:rsidR="00C82670">
        <w:rPr>
          <w:rStyle w:val="Rimandonotaapidipagina"/>
        </w:rPr>
        <w:footnoteReference w:id="36"/>
      </w:r>
      <w:commentRangeEnd w:id="9"/>
      <w:r w:rsidR="00452F78">
        <w:rPr>
          <w:rStyle w:val="Rimandocommento"/>
        </w:rPr>
        <w:commentReference w:id="9"/>
      </w:r>
      <w:r w:rsidR="00C82670">
        <w:t>. Con molte variabili continue e non categoriche presenti nel dataset, questo a</w:t>
      </w:r>
      <w:r w:rsidR="001E2C42">
        <w:t>ssunto vie</w:t>
      </w:r>
      <w:r>
        <w:t>ne facilmente violato e i test non sono più affidabili</w:t>
      </w:r>
      <w:r w:rsidR="001E2C42">
        <w:t>.</w:t>
      </w:r>
    </w:p>
    <w:p w14:paraId="482B83E4" w14:textId="7CCD5A35" w:rsidR="0013503A" w:rsidRDefault="001E2C42" w:rsidP="001E2C42">
      <w:pPr>
        <w:pStyle w:val="Titolo3"/>
      </w:pPr>
      <w:r>
        <w:t>La statistica Hosmer –</w:t>
      </w:r>
      <w:r w:rsidR="00B27EDA">
        <w:t xml:space="preserve"> Leme</w:t>
      </w:r>
      <w:r>
        <w:t>show (HL)</w:t>
      </w:r>
    </w:p>
    <w:p w14:paraId="60B66031" w14:textId="77777777" w:rsidR="00002152" w:rsidRDefault="00B27EDA" w:rsidP="00002152">
      <w:r>
        <w:t>Una ulteriore statistica test</w:t>
      </w:r>
      <w:r w:rsidR="00486B04">
        <w:t xml:space="preserve"> per la bontà di adattamento ai dati</w:t>
      </w:r>
      <w:r>
        <w:t xml:space="preserve"> è stata proposta dagli studiosi Hosmer e Lemeshow</w:t>
      </w:r>
      <w:r w:rsidR="001A7821">
        <w:t xml:space="preserve"> </w:t>
      </w:r>
      <w:r w:rsidR="001A7821">
        <w:rPr>
          <w:rStyle w:val="Rimandonotaapidipagina"/>
        </w:rPr>
        <w:footnoteReference w:id="37"/>
      </w:r>
      <w:r w:rsidR="00486B04">
        <w:t xml:space="preserve">, per ovviare ai limiti di statistiche test che si basato sul numero di </w:t>
      </w:r>
      <w:r w:rsidR="00486B04" w:rsidRPr="00486B04">
        <w:rPr>
          <w:i/>
        </w:rPr>
        <w:t>g</w:t>
      </w:r>
      <w:r w:rsidR="00486B04">
        <w:t xml:space="preserve">. </w:t>
      </w:r>
    </w:p>
    <w:p w14:paraId="0358A579" w14:textId="3BEB47E5" w:rsidR="00002152" w:rsidRDefault="00002152" w:rsidP="00002152">
      <w:r>
        <w:t>Hosmer e Lemeshow hanno proposto il raggruppamento delle osservazioni in base ai valori della variabile indipendente predetti dal modello di regressione logistica. In particolare, i valori predetti sono ordinati dal più piccolo al più grande, e poi separati in diversi gruppi di approssimativamente uguale dimensione. Dieci gruppi è la raccomandazione standard.</w:t>
      </w:r>
    </w:p>
    <w:p w14:paraId="7AD0C528" w14:textId="45DBDDFC" w:rsidR="00002152" w:rsidRDefault="00002152" w:rsidP="00002152">
      <w:r>
        <w:t>Per ciascun gruppo, si calcola il numero osservato di eventi e non eventi (presenza o assenza di attributo), così come il numero atteso di eventi e non eventi. Il numero atteso di eventi è solo la somma delle probabilità previste per tutti le osservazioni del gruppo. E il numero atteso di non eventi è la dimensione del gruppo meno il numero atteso di eventi.</w:t>
      </w:r>
    </w:p>
    <w:p w14:paraId="01908E77" w14:textId="4BE1AC03" w:rsidR="00002152" w:rsidRDefault="00C23740" w:rsidP="00002152">
      <w:r>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t>
      </w:r>
      <w:r w:rsidR="00002152">
        <w:t xml:space="preserve">viene poi </w:t>
      </w:r>
      <w:r>
        <w:t>utilizzata</w:t>
      </w:r>
      <w:r w:rsidR="00002152">
        <w:t xml:space="preserve"> per confrontare i conteggi osservati con conteggi </w:t>
      </w:r>
      <w:commentRangeStart w:id="10"/>
      <w:r w:rsidR="00002152">
        <w:t>attesi</w:t>
      </w:r>
      <w:commentRangeEnd w:id="10"/>
      <w:r w:rsidR="0088731B">
        <w:rPr>
          <w:rStyle w:val="Rimandocommento"/>
        </w:rPr>
        <w:commentReference w:id="10"/>
      </w:r>
      <w:r w:rsidR="00002152">
        <w:t xml:space="preserve">. I gradi di libertà è il numero di gruppi meno 2. </w:t>
      </w:r>
      <w:r>
        <w:t>P</w:t>
      </w:r>
      <w:r w:rsidR="00002152">
        <w:t>-</w:t>
      </w:r>
      <w:r w:rsidR="00002152">
        <w:lastRenderedPageBreak/>
        <w:t xml:space="preserve">valori </w:t>
      </w:r>
      <w:r w:rsidR="00A57E6D">
        <w:t>inferiori al livello di significatività</w:t>
      </w:r>
      <w:r w:rsidR="00002152">
        <w:t xml:space="preserve"> suggeriscono </w:t>
      </w:r>
      <w:r>
        <w:t xml:space="preserve">il </w:t>
      </w:r>
      <w:r w:rsidR="00002152">
        <w:t>rifiuto del modello</w:t>
      </w:r>
      <w:r w:rsidR="00A57E6D">
        <w:t xml:space="preserve"> </w:t>
      </w:r>
      <w:r w:rsidR="00A57E6D">
        <w:rPr>
          <w:rStyle w:val="Rimandonotaapidipagina"/>
        </w:rPr>
        <w:footnoteReference w:id="38"/>
      </w:r>
      <w:r w:rsidR="00002152">
        <w:t>.</w:t>
      </w:r>
      <w:r w:rsidR="00A57E6D">
        <w:t xml:space="preserve"> Per quanto anch’essa oggetto di critiche  la statistica HL è ampiamente la più usata e quella su cui c’è maggiore convergenza tra gli studiosi </w:t>
      </w:r>
      <w:r w:rsidR="00A57E6D">
        <w:rPr>
          <w:rStyle w:val="Rimandonotaapidipagina"/>
        </w:rPr>
        <w:footnoteReference w:id="39"/>
      </w:r>
      <w:r w:rsidR="00A57E6D">
        <w:t>.</w:t>
      </w:r>
    </w:p>
    <w:p w14:paraId="7168EF1A" w14:textId="61A9A6D0" w:rsidR="0067291D" w:rsidRDefault="0067291D" w:rsidP="0067291D">
      <w:pPr>
        <w:pStyle w:val="Titolo1"/>
      </w:pPr>
      <w:r>
        <w:t>Selezione del miglior modello</w:t>
      </w:r>
    </w:p>
    <w:p w14:paraId="57A58466" w14:textId="0696EF4E" w:rsidR="00E81EAC" w:rsidRDefault="006A331A" w:rsidP="00E81EAC">
      <w:r>
        <w:t xml:space="preserve">I metodi di selezione delle variabili per la costruzione di un modello sono stati già descritti nel Capitolo Primo. Questi possono applicarsi anche nel caso della regressione logistica. </w:t>
      </w:r>
      <w:r w:rsidR="004F47E5">
        <w:t>Sono stati introdotti anche dei metodi specifici di selezione delle variabili per la regressione logistica</w:t>
      </w:r>
      <w:r w:rsidR="009F448F">
        <w:t xml:space="preserve"> come il </w:t>
      </w:r>
      <w:r w:rsidR="009F448F" w:rsidRPr="009F448F">
        <w:rPr>
          <w:bCs/>
          <w:i/>
        </w:rPr>
        <w:t>Purposeful selection</w:t>
      </w:r>
      <w:r w:rsidR="009F448F" w:rsidRPr="009F448F">
        <w:rPr>
          <w:b/>
          <w:bCs/>
        </w:rPr>
        <w:t xml:space="preserve"> </w:t>
      </w:r>
      <w:r w:rsidR="009F448F" w:rsidRPr="009F448F">
        <w:rPr>
          <w:bCs/>
          <w:i/>
        </w:rPr>
        <w:t>algorith</w:t>
      </w:r>
      <w:r w:rsidR="009F448F">
        <w:rPr>
          <w:b/>
          <w:bCs/>
        </w:rPr>
        <w:t xml:space="preserve"> </w:t>
      </w:r>
      <w:r w:rsidR="004F47E5">
        <w:rPr>
          <w:rStyle w:val="Rimandonotaapidipagina"/>
        </w:rPr>
        <w:footnoteReference w:id="40"/>
      </w:r>
      <w:r w:rsidR="009F448F">
        <w:t xml:space="preserve"> , che rappresenta comunque un ibrido dei modelli di selezione basati sul </w:t>
      </w:r>
      <w:r w:rsidR="009F448F" w:rsidRPr="009F448F">
        <w:rPr>
          <w:i/>
        </w:rPr>
        <w:t>p-value</w:t>
      </w:r>
      <w:r w:rsidR="009F448F">
        <w:t xml:space="preserve"> dei coefficienti. Essenziale nella scelta del modello è lo scopo del medesimo: se il fine è la predittività, bisogna avvalersi di misure del potere predittivo: in tal caso una </w:t>
      </w:r>
      <w:r w:rsidR="009F448F" w:rsidRPr="00E81EAC">
        <w:rPr>
          <w:i/>
        </w:rPr>
        <w:t>cross-validation</w:t>
      </w:r>
      <w:r w:rsidR="009F448F">
        <w:t xml:space="preserve"> che seleziona la combinazione di variabili con l’AUC maggiore andrà più che bene. Se il fine è l’inferenza, specialmente nel caso in cui si voglia analizzare il rapporto causale tra una variabile di esposizione e una variabile di uscita alla luce dell’influenza di alcuni fattori di rischio.</w:t>
      </w:r>
      <w:r w:rsidR="00E81EAC">
        <w:t xml:space="preserve"> In quel caso un approccio possibile è la costruzione di un modello gerarchico che includa la variabile di esposizione, alcune variabili di controllo e altre di interazione </w:t>
      </w:r>
      <w:r w:rsidR="00E81EAC">
        <w:rPr>
          <w:rStyle w:val="Rimandonotaapidipagina"/>
        </w:rPr>
        <w:footnoteReference w:id="41"/>
      </w:r>
      <w:r w:rsidR="00E81EAC">
        <w:t>. È aldilà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65AC4CD6"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 </w:t>
      </w:r>
      <w:r>
        <w:rPr>
          <w:rStyle w:val="Rimandonotaapidipagina"/>
        </w:rPr>
        <w:footnoteReference w:id="42"/>
      </w:r>
      <w:r>
        <w:t xml:space="preserve">. </w:t>
      </w:r>
      <w:r w:rsidR="00472146">
        <w:t>La diagnostica del modello non deve quindi orientarsi a verificare codeste assunzioni, come accade invece nel modello di regressione lineare.</w:t>
      </w:r>
    </w:p>
    <w:p w14:paraId="6957CAA2" w14:textId="4F057B31" w:rsidR="00472146" w:rsidRPr="00FF6896" w:rsidRDefault="00472146" w:rsidP="00117CE3">
      <w:pPr>
        <w:rPr>
          <w:color w:val="FF0000"/>
        </w:rPr>
      </w:pPr>
      <w:r>
        <w:t>Il modello di regressione logistica invece assume che le osservazioni siano indipendenti tra di loro</w:t>
      </w:r>
      <w:r w:rsidR="003D6BA0">
        <w:t xml:space="preserve"> </w:t>
      </w:r>
      <w:r w:rsidR="003D6BA0">
        <w:rPr>
          <w:rStyle w:val="Rimandonotaapidipagina"/>
        </w:rPr>
        <w:footnoteReference w:id="43"/>
      </w:r>
      <w:r>
        <w:t xml:space="preserve"> e che tutte le variabili </w:t>
      </w:r>
      <w:r w:rsidR="0085299E">
        <w:t>significative siano state inclus</w:t>
      </w:r>
      <w:r>
        <w:t>e (la cosiddetta assunzione di specificazione del modello).</w:t>
      </w:r>
      <w:r w:rsidR="0085299E">
        <w:t xml:space="preserve"> </w:t>
      </w:r>
      <w:r w:rsidR="004108B8">
        <w:t xml:space="preserve">Assume inoltre che tra LOGIT e variabili dipendenti ci sia una relazione lineare. </w:t>
      </w:r>
      <w:r w:rsidR="0085299E">
        <w:t>Il primo è un problema di raccolta dei dati</w:t>
      </w:r>
      <w:r w:rsidR="00966AD7">
        <w:t xml:space="preserve"> (serie storiche piuttosto che campionamento a grappoli </w:t>
      </w:r>
      <w:r w:rsidR="00966AD7">
        <w:rPr>
          <w:rStyle w:val="Rimandonotaapidipagina"/>
        </w:rPr>
        <w:footnoteReference w:id="44"/>
      </w:r>
      <w:r w:rsidR="00966AD7">
        <w:t>)</w:t>
      </w:r>
      <w:r w:rsidR="0085299E">
        <w:t xml:space="preserve">, </w:t>
      </w:r>
      <w:r w:rsidR="0085299E" w:rsidRPr="00FF6896">
        <w:rPr>
          <w:color w:val="FF0000"/>
        </w:rPr>
        <w:t xml:space="preserve">il secondo spesso si affronta utilizzando un test per la funzione di link: si verifica se ulteriori predittori inseriti nel modello, quadrati dei predittori già inseriti, siano significativi. Se lo sono, il modello è mal </w:t>
      </w:r>
      <w:commentRangeStart w:id="11"/>
      <w:r w:rsidR="0085299E" w:rsidRPr="00FF6896">
        <w:rPr>
          <w:color w:val="FF0000"/>
        </w:rPr>
        <w:t>specificato</w:t>
      </w:r>
      <w:commentRangeEnd w:id="11"/>
      <w:r w:rsidR="00FF6896">
        <w:rPr>
          <w:rStyle w:val="Rimandocommento"/>
        </w:rPr>
        <w:commentReference w:id="11"/>
      </w:r>
      <w:r w:rsidR="00C74E32">
        <w:rPr>
          <w:rStyle w:val="Rimandonotaapidipagina"/>
          <w:color w:val="FF0000"/>
        </w:rPr>
        <w:footnoteReference w:id="45"/>
      </w:r>
      <w:r w:rsidR="0085299E" w:rsidRPr="00FF6896">
        <w:rPr>
          <w:color w:val="FF0000"/>
        </w:rPr>
        <w:t>.</w:t>
      </w:r>
    </w:p>
    <w:p w14:paraId="37128855" w14:textId="6B3F1910" w:rsidR="00EF60A7" w:rsidRDefault="0085299E" w:rsidP="0085299E">
      <w:pPr>
        <w:pStyle w:val="Titolo3"/>
      </w:pPr>
      <w:r>
        <w:lastRenderedPageBreak/>
        <w:t xml:space="preserve">Analisi dei </w:t>
      </w:r>
      <w:commentRangeStart w:id="12"/>
      <w:r>
        <w:t>residui</w:t>
      </w:r>
      <w:commentRangeEnd w:id="12"/>
      <w:r w:rsidR="00226066">
        <w:rPr>
          <w:rStyle w:val="Rimandocommento"/>
          <w:rFonts w:eastAsiaTheme="minorHAnsi" w:cstheme="minorBidi"/>
          <w:i w:val="0"/>
          <w:color w:val="auto"/>
        </w:rPr>
        <w:commentReference w:id="12"/>
      </w:r>
    </w:p>
    <w:p w14:paraId="3F783F6E" w14:textId="36896476" w:rsidR="00BC3B0E" w:rsidRDefault="00BC3B0E" w:rsidP="00BC3B0E">
      <w:r>
        <w:t xml:space="preserve">Nella regressione lineare l’analisi dei residui gioca un ruolo importante nella verifica della violazione delle assunzioni del modello; l’idea generale è che, il residuo debba essere indipendente dai predittori, vale a dire che nella stima non ci si debba mai sbagliare in maniera sistematica, secondo un qualche trend. Se così fosse, c’è un effetto sistematico che agisce e che può essere spiegato includendo nel modello qualche regressore non utilizzato, rimanendo così solo il residuo dovuto alla stima dei parametri e al fatto che nessuna funziona descrive perfettamente un fenomeno senza includere un termine di errore, di cui il residuo è realizzazione.  </w:t>
      </w:r>
    </w:p>
    <w:p w14:paraId="71D64D2C" w14:textId="76BD34D8" w:rsidR="001E18EE" w:rsidRDefault="00BC3B0E" w:rsidP="001E18EE">
      <w:r>
        <w:t xml:space="preserve">Nella regressione logistica il problema è che, innanzitutto, di residui si può parlare solo per dati raggruppati, dove </w:t>
      </w:r>
      <w:r w:rsidR="001E18EE" w:rsidRPr="001E18EE">
        <w:rPr>
          <w:i/>
        </w:rPr>
        <w:t>j &lt; n</w:t>
      </w:r>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possa essere sospetto oppure no </w:t>
      </w:r>
      <w:r w:rsidR="001E18EE">
        <w:rPr>
          <w:rStyle w:val="Rimandonotaapidipagina"/>
          <w:rFonts w:eastAsiaTheme="minorEastAsia"/>
        </w:rPr>
        <w:footnoteReference w:id="46"/>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Fonts w:eastAsiaTheme="minorEastAsia"/>
        </w:rPr>
        <w:t xml:space="preserve"> </w:t>
      </w:r>
      <w:r w:rsidR="00904328">
        <w:rPr>
          <w:rStyle w:val="Rimandonotaapidipagina"/>
          <w:rFonts w:eastAsiaTheme="minorEastAsia"/>
        </w:rPr>
        <w:footnoteReference w:id="47"/>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r>
        <w:t>Multicollinearità</w:t>
      </w:r>
    </w:p>
    <w:p w14:paraId="4FC4B868" w14:textId="25371A05" w:rsidR="00823A1E" w:rsidRDefault="000C0752" w:rsidP="00823A1E">
      <w:r>
        <w:t xml:space="preserve">È statisticamente dimostrabile che includere in un modello lineare (e anche in un modello lineare generalizzato) regressori linearmente correlati tra loro </w:t>
      </w:r>
      <w:r w:rsidR="00A615DA">
        <w:t xml:space="preserve">comporta un aumento dell’errore standard degli stimatori dei coefficienti dei regressori stessi, fenomeno noto come multicollinearità o inflazione della varianza </w:t>
      </w:r>
      <w:r w:rsidR="00A615DA">
        <w:rPr>
          <w:rStyle w:val="Rimandonotaapidipagina"/>
        </w:rPr>
        <w:footnoteReference w:id="48"/>
      </w:r>
      <w:r w:rsidR="00A615DA">
        <w:t>. A volte il ricercatore può decidere di includere delle variabili (magari di controllo</w:t>
      </w:r>
      <w:r w:rsidR="00DC70EB">
        <w:t xml:space="preserve"> o comunque variabili che se escluse creerebbero problemi di distorsione della stima</w:t>
      </w:r>
      <w:r w:rsidR="00A615DA">
        <w:t>) anche se incidono notevolmente sulla varianza dei coefficienti stimati</w:t>
      </w:r>
      <w:r w:rsidR="006F1EAD">
        <w:t xml:space="preserve"> </w:t>
      </w:r>
      <w:r w:rsidR="006F1EAD">
        <w:lastRenderedPageBreak/>
        <w:t>(e quindi sui test di ipotesi)</w:t>
      </w:r>
      <w:r w:rsidR="00A615DA">
        <w:t>; tuttavia una diagnostica su un modello deve garantire il governo di questo fenomeno e una scelta consapevole sull’inclusione o meno di variabili fortemente correlate ad altre.</w:t>
      </w:r>
    </w:p>
    <w:p w14:paraId="3EDE7778" w14:textId="7D6C5014" w:rsidR="00A615DA" w:rsidRDefault="00A615DA" w:rsidP="00A615DA">
      <w:r>
        <w:t xml:space="preserve">Poiché la collinearità può riguardare più di due variabili, non basta una matrice degli scatterplot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77777777" w:rsidR="00A71429" w:rsidRDefault="00A615DA" w:rsidP="00A71429">
      <w:r>
        <w:t>Serve quindi uno strumento diagnostico adatto a modelli multivariati; nel nostro caso proponiamo il CNIs (</w:t>
      </w:r>
      <w:r w:rsidRPr="00A615DA">
        <w:rPr>
          <w:i/>
        </w:rPr>
        <w:t>condition indices</w:t>
      </w:r>
      <w:r>
        <w:t>) e il VDPs (</w:t>
      </w:r>
      <w:r w:rsidRPr="00A615DA">
        <w:rPr>
          <w:i/>
        </w:rPr>
        <w:t>variance decomposition proportions</w:t>
      </w:r>
      <w:r>
        <w:t xml:space="preserve">) </w:t>
      </w:r>
      <w:r>
        <w:rPr>
          <w:rStyle w:val="Rimandonotaapidipagina"/>
        </w:rPr>
        <w:footnoteReference w:id="49"/>
      </w:r>
      <w:r w:rsidR="005D45C1">
        <w:t xml:space="preserve">. </w:t>
      </w:r>
      <w:r w:rsidR="008C5EAF">
        <w:t xml:space="preserve">I due indici sono stati creati per il modello di regressione lineare, ed è poi stato adattato anche alla regressione logistica </w:t>
      </w:r>
      <w:r w:rsidR="008C5EAF">
        <w:rPr>
          <w:rStyle w:val="Rimandonotaapidipagina"/>
        </w:rPr>
        <w:footnoteReference w:id="50"/>
      </w:r>
      <w:r w:rsidR="00A71429">
        <w:t xml:space="preserve">. </w:t>
      </w:r>
      <w:r w:rsidR="00A71429">
        <w:t xml:space="preserve">Spiegare come vengono calcolati i due indici richiederebbe tecniche di algebra matriciale </w:t>
      </w:r>
      <w:r w:rsidR="00A71429">
        <w:rPr>
          <w:rStyle w:val="Rimandonotaapidipagina"/>
        </w:rPr>
        <w:footnoteReference w:id="51"/>
      </w:r>
      <w:r w:rsidR="00A71429">
        <w:t>, che è aldilà degli scopi di questo elaborato.</w:t>
      </w:r>
      <w:r w:rsidR="00A71429">
        <w:t xml:space="preserve"> </w:t>
      </w:r>
    </w:p>
    <w:p w14:paraId="05789156" w14:textId="2DE621CD" w:rsidR="00A615DA" w:rsidRDefault="008C5EAF" w:rsidP="00A71429">
      <w:r>
        <w:t xml:space="preserve">Come regola d’uso si può procedere come segue: </w:t>
      </w:r>
      <w:r w:rsidR="00A71429">
        <w:t xml:space="preserve">data la tabella con  </w:t>
      </w:r>
      <w:r w:rsidR="00A71429">
        <w:t>CNIs</w:t>
      </w:r>
      <w:r w:rsidR="00A71429">
        <w:t xml:space="preserve"> e </w:t>
      </w:r>
      <w:r w:rsidR="00A71429">
        <w:t>VDPs</w:t>
      </w:r>
      <w:r w:rsidR="00A71429">
        <w:t>:</w:t>
      </w:r>
    </w:p>
    <w:p w14:paraId="2AEF002A" w14:textId="3AEB2E39" w:rsidR="00A71429" w:rsidRDefault="00DC70EB" w:rsidP="00DC70EB">
      <w:pPr>
        <w:jc w:val="center"/>
      </w:pPr>
      <w:r w:rsidRPr="00DC70EB">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1568763" cy="3117788"/>
                    </a:xfrm>
                    <a:prstGeom prst="rect">
                      <a:avLst/>
                    </a:prstGeom>
                  </pic:spPr>
                </pic:pic>
              </a:graphicData>
            </a:graphic>
          </wp:inline>
        </w:drawing>
      </w:r>
    </w:p>
    <w:p w14:paraId="52345E5A" w14:textId="20D1EF8A" w:rsidR="00DC70EB" w:rsidRDefault="00DC70EB" w:rsidP="00DC70EB">
      <w:r>
        <w:t>Sulla prima riga ci sono i vari CNIs. Se il CNI più grande è considerevolmente maggiore di 30, allora se almeno due valore della VDP legata al CNI</w:t>
      </w:r>
      <w:r w:rsidR="00300EAE">
        <w:t xml:space="preserve"> sono maggiori di 0.5, allora c’è un problema di collinearità </w:t>
      </w:r>
      <w:r w:rsidR="00300EAE">
        <w:rPr>
          <w:rStyle w:val="Rimandonotaapidipagina"/>
        </w:rPr>
        <w:footnoteReference w:id="52"/>
      </w:r>
      <w:r w:rsidR="00300EAE">
        <w:t>. Esso si può affrontare togliendo la variabile con VDP più alto e riprocessando il modello per poi verificare in sede diagnostica se il problema di multicollinearità sussiste ancora.</w:t>
      </w:r>
    </w:p>
    <w:p w14:paraId="7EB3DD17" w14:textId="33851E14" w:rsidR="00A615DA" w:rsidRPr="00823A1E" w:rsidRDefault="00300EAE" w:rsidP="005177D7">
      <w:r>
        <w:lastRenderedPageBreak/>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53"/>
      </w:r>
      <w:r w:rsidR="00CB3C2D">
        <w:t>)</w:t>
      </w:r>
      <w:r>
        <w:t>, mantenendo così l’informazione ma al tempo stesso non soffrendo di nessun problema di inflazione della varianza degli stimatori dei coefficienti.</w:t>
      </w:r>
    </w:p>
    <w:p w14:paraId="51D60AE4" w14:textId="13A77FE5" w:rsidR="00910956" w:rsidRPr="00910956" w:rsidRDefault="0085299E" w:rsidP="00910956">
      <w:pPr>
        <w:pStyle w:val="Titolo3"/>
      </w:pPr>
      <w:r>
        <w:t>Osservazioni influenti</w:t>
      </w:r>
    </w:p>
    <w:p w14:paraId="5569B754" w14:textId="08CDEAF7" w:rsidR="004A5E7B" w:rsidRDefault="00112E48" w:rsidP="004A5E7B">
      <w:r>
        <w:t>Cita caffo</w:t>
      </w:r>
      <w:r w:rsidR="00A756E3">
        <w:t>, logreg with sas e klein</w:t>
      </w:r>
      <w:r w:rsidR="00FB24BC">
        <w:t>. Ma soprattutto hosmer 5.3, tante tipologie di grafico</w:t>
      </w:r>
      <w:r w:rsidR="009E0479">
        <w:t>, e l’art del prof di milano.</w:t>
      </w:r>
    </w:p>
    <w:p w14:paraId="1BE23455" w14:textId="5856D06C" w:rsidR="00910956" w:rsidRDefault="00910956" w:rsidP="00EC1AB0">
      <w:pPr>
        <w:pStyle w:val="Titolo3"/>
      </w:pPr>
      <w:r>
        <w:t>Link test</w:t>
      </w:r>
      <w:r w:rsidR="004C3BD5">
        <w:t xml:space="preserve"> – mispecification of the model</w:t>
      </w:r>
    </w:p>
    <w:p w14:paraId="11993FFD" w14:textId="22980553" w:rsidR="005F3B42" w:rsidRPr="005F3B42" w:rsidRDefault="005F3B42" w:rsidP="005F3B42">
      <w:r>
        <w:t xml:space="preserve">Plot </w:t>
      </w:r>
      <w:r w:rsidR="00D66520">
        <w:t>del LOGIT</w:t>
      </w:r>
      <w:r>
        <w:t xml:space="preserve"> contro i predittori. Linearità?</w:t>
      </w:r>
      <w:r w:rsidR="005177D7">
        <w:t xml:space="preserve"> Inoltre vedi klein.</w:t>
      </w:r>
      <w:bookmarkStart w:id="13" w:name="_GoBack"/>
      <w:bookmarkEnd w:id="13"/>
    </w:p>
    <w:p w14:paraId="28140BB5" w14:textId="2411E32A" w:rsidR="00C74E32" w:rsidRPr="00C74E32" w:rsidRDefault="00C74E32" w:rsidP="00C74E32">
      <w:pPr>
        <w:pStyle w:val="Titolo3"/>
      </w:pPr>
      <w:r>
        <w:t>Overdispersion</w:t>
      </w:r>
    </w:p>
    <w:p w14:paraId="7E6C306D" w14:textId="42A7D1A6" w:rsidR="00EC1AB0" w:rsidRDefault="00EC1AB0" w:rsidP="00EC1AB0">
      <w:pPr>
        <w:pStyle w:val="Titolo3"/>
      </w:pPr>
      <w:r>
        <w:t>Sintesi</w:t>
      </w:r>
    </w:p>
    <w:p w14:paraId="3B22AF9C" w14:textId="64EFB044" w:rsidR="00EC1AB0" w:rsidRDefault="00B00B49" w:rsidP="00EC1AB0">
      <w:pPr>
        <w:pStyle w:val="Paragrafoelenco"/>
        <w:numPr>
          <w:ilvl w:val="0"/>
          <w:numId w:val="9"/>
        </w:numPr>
      </w:pPr>
      <w:r>
        <w:t>Goodness of fit</w:t>
      </w:r>
    </w:p>
    <w:p w14:paraId="06FE4D7F" w14:textId="10744DC8" w:rsidR="00B00B49" w:rsidRDefault="00B00B49" w:rsidP="00EC1AB0">
      <w:pPr>
        <w:pStyle w:val="Paragrafoelenco"/>
        <w:numPr>
          <w:ilvl w:val="0"/>
          <w:numId w:val="9"/>
        </w:numPr>
      </w:pPr>
      <w:r>
        <w:t>Analisi dei residui</w:t>
      </w:r>
    </w:p>
    <w:p w14:paraId="1361227A" w14:textId="581969C3" w:rsidR="00B00B49" w:rsidRDefault="00B00B49" w:rsidP="00EC1AB0">
      <w:pPr>
        <w:pStyle w:val="Paragrafoelenco"/>
        <w:numPr>
          <w:ilvl w:val="0"/>
          <w:numId w:val="9"/>
        </w:numPr>
      </w:pPr>
      <w:r>
        <w:t>Multicollinearità</w:t>
      </w:r>
    </w:p>
    <w:p w14:paraId="48B0CD6E" w14:textId="7EC13500" w:rsidR="00B00B49" w:rsidRDefault="00B00B49" w:rsidP="00B00B49">
      <w:pPr>
        <w:pStyle w:val="Paragrafoelenco"/>
        <w:numPr>
          <w:ilvl w:val="0"/>
          <w:numId w:val="9"/>
        </w:numPr>
      </w:pPr>
      <w:r>
        <w:t>Punti influnti</w:t>
      </w:r>
    </w:p>
    <w:p w14:paraId="14A0FAC6" w14:textId="2CF43E47" w:rsidR="00B00B49" w:rsidRDefault="00B00B49" w:rsidP="00B00B49">
      <w:pPr>
        <w:pStyle w:val="Paragrafoelenco"/>
        <w:numPr>
          <w:ilvl w:val="0"/>
          <w:numId w:val="9"/>
        </w:numPr>
      </w:pPr>
      <w:r>
        <w:t>Multiple testing</w:t>
      </w:r>
    </w:p>
    <w:p w14:paraId="12A3B21A" w14:textId="7337BC7D" w:rsidR="00B00B49" w:rsidRDefault="00B00B49" w:rsidP="00B00B49">
      <w:pPr>
        <w:pStyle w:val="Paragrafoelenco"/>
        <w:numPr>
          <w:ilvl w:val="0"/>
          <w:numId w:val="9"/>
        </w:numPr>
      </w:pPr>
      <w:r>
        <w:t>Link test</w:t>
      </w:r>
    </w:p>
    <w:p w14:paraId="5D4495E0" w14:textId="2B36A77D" w:rsidR="00C74E32" w:rsidRPr="00EC1AB0" w:rsidRDefault="00C74E32" w:rsidP="00B00B49">
      <w:pPr>
        <w:pStyle w:val="Paragrafoelenco"/>
        <w:numPr>
          <w:ilvl w:val="0"/>
          <w:numId w:val="9"/>
        </w:numPr>
      </w:pPr>
      <w:r>
        <w:t>overdispersion</w:t>
      </w:r>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3"/>
      <w:footerReference w:type="default" r:id="rId14"/>
      <w:pgSz w:w="11900" w:h="16840"/>
      <w:pgMar w:top="1701" w:right="1418" w:bottom="1418" w:left="1985"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Americo Costantini" w:date="2016-02-28T07:34:00Z" w:initials="AC">
    <w:p w14:paraId="4FDC62CB" w14:textId="607868B1" w:rsidR="00E51A3D" w:rsidRDefault="00E51A3D">
      <w:pPr>
        <w:pStyle w:val="Testocommento"/>
      </w:pPr>
      <w:r>
        <w:rPr>
          <w:rStyle w:val="Rimandocommento"/>
        </w:rPr>
        <w:annotationRef/>
      </w:r>
      <w:r>
        <w:t>Quanto deve essere la numerosità minima di una classe? Forse lo trovi su klein</w:t>
      </w:r>
    </w:p>
  </w:comment>
  <w:comment w:id="10" w:author="Americo Costantini" w:date="2016-02-28T07:35:00Z" w:initials="AC">
    <w:p w14:paraId="2067CFEA" w14:textId="06C6DBB3" w:rsidR="00E51A3D" w:rsidRDefault="00E51A3D">
      <w:pPr>
        <w:pStyle w:val="Testocommento"/>
      </w:pPr>
      <w:r>
        <w:rPr>
          <w:rStyle w:val="Rimandocommento"/>
        </w:rPr>
        <w:annotationRef/>
      </w:r>
      <w:r>
        <w:t>Devi acquisire dimestichezza sul significato di un p-value nei vari test. Molto chiara in mente quale sia l’ipotesi nulla. Dal likelihhod ratio test a questo</w:t>
      </w:r>
    </w:p>
  </w:comment>
  <w:comment w:id="11" w:author="Americo Costantini" w:date="2016-02-28T07:16:00Z" w:initials="AC">
    <w:p w14:paraId="0217BCAA" w14:textId="40A84824" w:rsidR="00E51A3D" w:rsidRDefault="00E51A3D">
      <w:pPr>
        <w:pStyle w:val="Testocommento"/>
      </w:pPr>
      <w:r>
        <w:rPr>
          <w:rStyle w:val="Rimandocommento"/>
        </w:rPr>
        <w:annotationRef/>
      </w:r>
      <w:r>
        <w:t xml:space="preserve">Non sono stanto sicuro che sia così. La funzione di link riguarda l’assunzione sulla f che descrive il fenomeno, non s qyalche variabile che ti sei scordati. Ahimè non ho inserito il riferimenti: </w:t>
      </w:r>
      <w:hyperlink r:id="rId1" w:history="1">
        <w:r w:rsidRPr="00EB21AD">
          <w:rPr>
            <w:rStyle w:val="Collegamentoipertestuale"/>
          </w:rPr>
          <w:t>https://onlinecourses.science.psu.edu/stat504/node/161</w:t>
        </w:r>
      </w:hyperlink>
      <w:r>
        <w:t xml:space="preserve"> </w:t>
      </w:r>
    </w:p>
  </w:comment>
  <w:comment w:id="12" w:author="Americo Costantini" w:date="2016-02-28T07:36:00Z" w:initials="AC">
    <w:p w14:paraId="65E59E73" w14:textId="3B23DBB9" w:rsidR="00E51A3D" w:rsidRDefault="00E51A3D" w:rsidP="00226066">
      <w:pPr>
        <w:pStyle w:val="Testocommento"/>
        <w:numPr>
          <w:ilvl w:val="0"/>
          <w:numId w:val="10"/>
        </w:numPr>
      </w:pPr>
      <w:r>
        <w:rPr>
          <w:rStyle w:val="Rimandocommento"/>
        </w:rPr>
        <w:annotationRef/>
      </w:r>
      <w:r>
        <w:t>Vale se e solo se j &lt; n (potrebbe essere utile trasformare variabili quantitative in categoriche?</w:t>
      </w:r>
      <w:r w:rsidRPr="00226066">
        <w:t xml:space="preserve"> </w:t>
      </w:r>
      <w:hyperlink r:id="rId2" w:history="1">
        <w:r w:rsidRPr="00EB21AD">
          <w:rPr>
            <w:rStyle w:val="Collegamentoipertestuale"/>
          </w:rPr>
          <w:t>http://www.stat.ubc.ca/~rollin/teach/536w10/lec16.pdf</w:t>
        </w:r>
      </w:hyperlink>
    </w:p>
    <w:p w14:paraId="08D3DA34" w14:textId="1BB7C800" w:rsidR="00E51A3D" w:rsidRDefault="00E51A3D" w:rsidP="00226066">
      <w:pPr>
        <w:pStyle w:val="Testocommento"/>
        <w:numPr>
          <w:ilvl w:val="0"/>
          <w:numId w:val="10"/>
        </w:numPr>
      </w:pPr>
      <w:r>
        <w:t>l’idea è che tolto l’effetto sistematico, un pattern va spiegato. Ma non è chiaro coi GLM che pattern aspettarsi (</w:t>
      </w:r>
      <w:hyperlink r:id="rId3" w:history="1">
        <w:r w:rsidRPr="00EB21AD">
          <w:rPr>
            <w:rStyle w:val="Collegamentoipertestuale"/>
          </w:rPr>
          <w:t>http://www.amstat.org/sections/SRMS/Proceedings/y2001/Proceed/00276.pdf</w:t>
        </w:r>
      </w:hyperlink>
      <w:r>
        <w:t xml:space="preserve"> )</w:t>
      </w:r>
    </w:p>
    <w:p w14:paraId="16BAEA36" w14:textId="3291F859" w:rsidR="00E51A3D" w:rsidRDefault="00E51A3D" w:rsidP="00226066">
      <w:pPr>
        <w:pStyle w:val="Testocommento"/>
        <w:numPr>
          <w:ilvl w:val="0"/>
          <w:numId w:val="10"/>
        </w:numPr>
      </w:pPr>
      <w:r>
        <w:t>menziona la poca letteratura sull’argomento</w:t>
      </w:r>
    </w:p>
    <w:p w14:paraId="61311225" w14:textId="0FC46C21" w:rsidR="00E51A3D" w:rsidRDefault="00E51A3D" w:rsidP="00226066">
      <w:pPr>
        <w:pStyle w:val="Testocommento"/>
        <w:numPr>
          <w:ilvl w:val="0"/>
          <w:numId w:val="10"/>
        </w:numPr>
      </w:pPr>
      <w:r>
        <w:t>plot residuala vs predictor. E se hai 30 predittori?</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DC62CB" w15:done="0"/>
  <w15:commentEx w15:paraId="2067CFEA" w15:done="0"/>
  <w15:commentEx w15:paraId="0217BCAA" w15:done="0"/>
  <w15:commentEx w15:paraId="6131122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34CC2C" w14:textId="77777777" w:rsidR="004C49B8" w:rsidRDefault="004C49B8" w:rsidP="00FB0831">
      <w:pPr>
        <w:spacing w:after="0" w:line="240" w:lineRule="auto"/>
      </w:pPr>
      <w:r>
        <w:separator/>
      </w:r>
    </w:p>
  </w:endnote>
  <w:endnote w:type="continuationSeparator" w:id="0">
    <w:p w14:paraId="4BBFFB1D" w14:textId="77777777" w:rsidR="004C49B8" w:rsidRDefault="004C49B8"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E51A3D" w:rsidRDefault="00E51A3D"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E51A3D" w:rsidRDefault="00E51A3D">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E51A3D" w:rsidRDefault="00E51A3D">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5177D7">
      <w:rPr>
        <w:caps/>
        <w:noProof/>
        <w:color w:val="5B9BD5" w:themeColor="accent1"/>
      </w:rPr>
      <w:t>19</w:t>
    </w:r>
    <w:r>
      <w:rPr>
        <w:caps/>
        <w:color w:val="5B9BD5" w:themeColor="accent1"/>
      </w:rPr>
      <w:fldChar w:fldCharType="end"/>
    </w:r>
  </w:p>
  <w:p w14:paraId="5176805A" w14:textId="77777777" w:rsidR="00E51A3D" w:rsidRDefault="00E51A3D">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D4BFAD" w14:textId="77777777" w:rsidR="004C49B8" w:rsidRDefault="004C49B8" w:rsidP="00FB0831">
      <w:pPr>
        <w:spacing w:after="0" w:line="240" w:lineRule="auto"/>
      </w:pPr>
      <w:r>
        <w:separator/>
      </w:r>
    </w:p>
  </w:footnote>
  <w:footnote w:type="continuationSeparator" w:id="0">
    <w:p w14:paraId="77CB00D3" w14:textId="77777777" w:rsidR="004C49B8" w:rsidRDefault="004C49B8" w:rsidP="00FB0831">
      <w:pPr>
        <w:spacing w:after="0" w:line="240" w:lineRule="auto"/>
      </w:pPr>
      <w:r>
        <w:continuationSeparator/>
      </w:r>
    </w:p>
  </w:footnote>
  <w:footnote w:id="1">
    <w:p w14:paraId="28D44AB2" w14:textId="083F1A0F" w:rsidR="00E51A3D" w:rsidRDefault="00E51A3D">
      <w:pPr>
        <w:pStyle w:val="Testonotaapidipagina"/>
      </w:pPr>
      <w:r>
        <w:rPr>
          <w:rStyle w:val="Rimandonotaapidipagina"/>
        </w:rPr>
        <w:footnoteRef/>
      </w:r>
      <w:r>
        <w:t xml:space="preserve"> Fai citazione dal manuale di statistica.</w:t>
      </w:r>
    </w:p>
  </w:footnote>
  <w:footnote w:id="2">
    <w:p w14:paraId="1B703EFB" w14:textId="0D025646" w:rsidR="00E51A3D" w:rsidRDefault="00E51A3D">
      <w:pPr>
        <w:pStyle w:val="Testonotaapidipagina"/>
      </w:pPr>
      <w:r>
        <w:rPr>
          <w:rStyle w:val="Rimandonotaapidipagina"/>
        </w:rPr>
        <w:footnoteRef/>
      </w:r>
      <w:r>
        <w:t xml:space="preserve"> Fai citazione dal pdf di rimini almeno</w:t>
      </w:r>
    </w:p>
  </w:footnote>
  <w:footnote w:id="3">
    <w:p w14:paraId="2041BE9A" w14:textId="318F68BE" w:rsidR="00E51A3D" w:rsidRDefault="00E51A3D">
      <w:pPr>
        <w:pStyle w:val="Testonotaapidipagina"/>
      </w:pPr>
      <w:r>
        <w:rPr>
          <w:rStyle w:val="Rimandonotaapidipagina"/>
        </w:rPr>
        <w:footnoteRef/>
      </w:r>
      <w:r>
        <w:t xml:space="preserve"> citare libro che parla di questo requisito</w:t>
      </w:r>
    </w:p>
  </w:footnote>
  <w:footnote w:id="4">
    <w:p w14:paraId="6CCCD1DF" w14:textId="7D051B75" w:rsidR="00E51A3D" w:rsidRDefault="00E51A3D">
      <w:pPr>
        <w:pStyle w:val="Testonotaapidipagina"/>
      </w:pPr>
      <w:r>
        <w:rPr>
          <w:rStyle w:val="Rimandonotaapidipagina"/>
        </w:rPr>
        <w:footnoteRef/>
      </w:r>
      <w:r>
        <w:t xml:space="preserve"> rifai citazione da rimini su non varianza anche dell’errore</w:t>
      </w:r>
    </w:p>
  </w:footnote>
  <w:footnote w:id="5">
    <w:p w14:paraId="63F736C6" w14:textId="160BA16A" w:rsidR="00E51A3D" w:rsidRDefault="00E51A3D">
      <w:pPr>
        <w:pStyle w:val="Testonotaapidipagina"/>
      </w:pPr>
      <w:r>
        <w:rPr>
          <w:rStyle w:val="Rimandonotaapidipagina"/>
        </w:rPr>
        <w:footnoteRef/>
      </w:r>
      <w:r>
        <w:t xml:space="preserve"> citazione da p.5 di kleineibaum</w:t>
      </w:r>
    </w:p>
  </w:footnote>
  <w:footnote w:id="6">
    <w:p w14:paraId="459113C5" w14:textId="63808E96" w:rsidR="00E51A3D" w:rsidRDefault="00E51A3D">
      <w:pPr>
        <w:pStyle w:val="Testonotaapidipagina"/>
      </w:pPr>
      <w:r>
        <w:rPr>
          <w:rStyle w:val="Rimandonotaapidipagina"/>
        </w:rPr>
        <w:footnoteRef/>
      </w:r>
      <w:r>
        <w:t xml:space="preserve"> fare una citazione sulla sigmoide.</w:t>
      </w:r>
    </w:p>
  </w:footnote>
  <w:footnote w:id="7">
    <w:p w14:paraId="460E6325" w14:textId="3119EF07" w:rsidR="00E51A3D" w:rsidRDefault="00E51A3D">
      <w:pPr>
        <w:pStyle w:val="Testonotaapidipagina"/>
      </w:pPr>
      <w:r>
        <w:rPr>
          <w:rStyle w:val="Rimandonotaapidipagina"/>
        </w:rPr>
        <w:footnoteRef/>
      </w:r>
      <w:r>
        <w:t xml:space="preserve"> In epidemiologia come fattori di rischio. Cita klein</w:t>
      </w:r>
    </w:p>
  </w:footnote>
  <w:footnote w:id="8">
    <w:p w14:paraId="42163F52" w14:textId="752329F6" w:rsidR="00E51A3D" w:rsidRDefault="00E51A3D">
      <w:pPr>
        <w:pStyle w:val="Testonotaapidipagina"/>
      </w:pPr>
      <w:r>
        <w:rPr>
          <w:rStyle w:val="Rimandonotaapidipagina"/>
        </w:rPr>
        <w:footnoteRef/>
      </w:r>
      <w:r>
        <w:t xml:space="preserve"> di che questo approccio che parte dalla funzione logistica e non da quella lineare lo hai scelto da klein</w:t>
      </w:r>
    </w:p>
  </w:footnote>
  <w:footnote w:id="9">
    <w:p w14:paraId="6BB4A6DF" w14:textId="37E82FD5" w:rsidR="00E51A3D" w:rsidRDefault="00E51A3D">
      <w:pPr>
        <w:pStyle w:val="Testonotaapidipagina"/>
      </w:pPr>
      <w:r>
        <w:rPr>
          <w:rStyle w:val="Rimandonotaapidipagina"/>
        </w:rPr>
        <w:footnoteRef/>
      </w:r>
      <w:r>
        <w:t xml:space="preserve"> cita epidemiologia di bottarelli</w:t>
      </w:r>
    </w:p>
  </w:footnote>
  <w:footnote w:id="10">
    <w:p w14:paraId="57A7FCFA" w14:textId="17699F57" w:rsidR="00E51A3D" w:rsidRDefault="00E51A3D">
      <w:pPr>
        <w:pStyle w:val="Testonotaapidipagina"/>
      </w:pPr>
      <w:r>
        <w:rPr>
          <w:rStyle w:val="Rimandonotaapidipagina"/>
        </w:rPr>
        <w:footnoteRef/>
      </w:r>
      <w:r>
        <w:t xml:space="preserve"> nota su sito di matematicamente sulle proprietà dei logaritmi</w:t>
      </w:r>
    </w:p>
  </w:footnote>
  <w:footnote w:id="11">
    <w:p w14:paraId="470F6686" w14:textId="7E00024C" w:rsidR="00E51A3D" w:rsidRDefault="00E51A3D">
      <w:pPr>
        <w:pStyle w:val="Testonotaapidipagina"/>
      </w:pPr>
      <w:r>
        <w:rPr>
          <w:rStyle w:val="Rimandonotaapidipagina"/>
        </w:rPr>
        <w:footnoteRef/>
      </w:r>
      <w:r>
        <w:t xml:space="preserve"> devo trovare un libro da citare al riguardo</w:t>
      </w:r>
    </w:p>
  </w:footnote>
  <w:footnote w:id="12">
    <w:p w14:paraId="0424398A" w14:textId="03F9B393" w:rsidR="00E51A3D" w:rsidRDefault="00E51A3D">
      <w:pPr>
        <w:pStyle w:val="Testonotaapidipagina"/>
      </w:pPr>
      <w:r>
        <w:rPr>
          <w:rStyle w:val="Rimandonotaapidipagina"/>
        </w:rPr>
        <w:footnoteRef/>
      </w:r>
      <w:r>
        <w:t xml:space="preserve"> fare citazione sul link dei GLM.</w:t>
      </w:r>
    </w:p>
  </w:footnote>
  <w:footnote w:id="13">
    <w:p w14:paraId="267CA388" w14:textId="2B7AECF1" w:rsidR="00E51A3D" w:rsidRDefault="00E51A3D">
      <w:pPr>
        <w:pStyle w:val="Testonotaapidipagina"/>
      </w:pPr>
      <w:r>
        <w:rPr>
          <w:rStyle w:val="Rimandonotaapidipagina"/>
        </w:rPr>
        <w:footnoteRef/>
      </w:r>
      <w:r>
        <w:t xml:space="preserve"> Cita rimini</w:t>
      </w:r>
    </w:p>
  </w:footnote>
  <w:footnote w:id="14">
    <w:p w14:paraId="7BF73419" w14:textId="26E044F3" w:rsidR="00E51A3D" w:rsidRDefault="00E51A3D">
      <w:pPr>
        <w:pStyle w:val="Testonotaapidipagina"/>
      </w:pPr>
      <w:r>
        <w:rPr>
          <w:rStyle w:val="Rimandonotaapidipagina"/>
        </w:rPr>
        <w:footnoteRef/>
      </w:r>
      <w:r>
        <w:t xml:space="preserve"> Cita ISLR</w:t>
      </w:r>
    </w:p>
  </w:footnote>
  <w:footnote w:id="15">
    <w:p w14:paraId="093B0701" w14:textId="0E4A4A9A" w:rsidR="00E51A3D" w:rsidRDefault="00E51A3D">
      <w:pPr>
        <w:pStyle w:val="Testonotaapidipagina"/>
      </w:pPr>
      <w:r>
        <w:rPr>
          <w:rStyle w:val="Rimandonotaapidipagina"/>
        </w:rPr>
        <w:footnoteRef/>
      </w:r>
      <w:r>
        <w:t xml:space="preserve"> trovare una citazione su safari</w:t>
      </w:r>
    </w:p>
  </w:footnote>
  <w:footnote w:id="16">
    <w:p w14:paraId="3F118234" w14:textId="79C928E3" w:rsidR="00E51A3D" w:rsidRDefault="00E51A3D">
      <w:pPr>
        <w:pStyle w:val="Testonotaapidipagina"/>
      </w:pPr>
      <w:r>
        <w:rPr>
          <w:rStyle w:val="Rimandonotaapidipagina"/>
        </w:rPr>
        <w:footnoteRef/>
      </w:r>
      <w:r>
        <w:t xml:space="preserve"> citazione da rimini</w:t>
      </w:r>
    </w:p>
  </w:footnote>
  <w:footnote w:id="17">
    <w:p w14:paraId="0223B1A1" w14:textId="3F8FB48A" w:rsidR="00E51A3D" w:rsidRDefault="00E51A3D">
      <w:pPr>
        <w:pStyle w:val="Testonotaapidipagina"/>
      </w:pPr>
      <w:r>
        <w:rPr>
          <w:rStyle w:val="Rimandonotaapidipagina"/>
        </w:rPr>
        <w:footnoteRef/>
      </w:r>
      <w:r>
        <w:t xml:space="preserve"> fai una citazione</w:t>
      </w:r>
    </w:p>
  </w:footnote>
  <w:footnote w:id="18">
    <w:p w14:paraId="172E5191" w14:textId="247EF64B" w:rsidR="00E51A3D" w:rsidRDefault="00E51A3D">
      <w:pPr>
        <w:pStyle w:val="Testonotaapidipagina"/>
      </w:pPr>
      <w:r>
        <w:rPr>
          <w:rStyle w:val="Rimandonotaapidipagina"/>
        </w:rPr>
        <w:footnoteRef/>
      </w:r>
      <w:r>
        <w:t xml:space="preserve"> cita da qualche parte</w:t>
      </w:r>
    </w:p>
  </w:footnote>
  <w:footnote w:id="19">
    <w:p w14:paraId="7186041E" w14:textId="1CA87DEC" w:rsidR="00E51A3D" w:rsidRDefault="00E51A3D">
      <w:pPr>
        <w:pStyle w:val="Testonotaapidipagina"/>
      </w:pPr>
      <w:r>
        <w:rPr>
          <w:rStyle w:val="Rimandonotaapidipagina"/>
        </w:rPr>
        <w:footnoteRef/>
      </w:r>
      <w:r>
        <w:t xml:space="preserve"> cita regmod di caffo </w:t>
      </w:r>
      <w:r>
        <w:rPr>
          <w:vanish/>
        </w:rPr>
        <w:t>Test di ipotesi sui coefficienti del modelloanti. deve essere interpretato numericamente come il valore che assume  non troppo c</w:t>
      </w:r>
    </w:p>
  </w:footnote>
  <w:footnote w:id="20">
    <w:p w14:paraId="4811A4E2" w14:textId="28B1D8EA" w:rsidR="00E51A3D" w:rsidRDefault="00E51A3D">
      <w:pPr>
        <w:pStyle w:val="Testonotaapidipagina"/>
      </w:pPr>
      <w:r>
        <w:rPr>
          <w:rStyle w:val="Rimandonotaapidipagina"/>
        </w:rPr>
        <w:footnoteRef/>
      </w:r>
      <w:r>
        <w:t xml:space="preserve"> qua una citazione da qualche libro di statistica, magari quello di mine, sul test di ipotesi.</w:t>
      </w:r>
    </w:p>
  </w:footnote>
  <w:footnote w:id="21">
    <w:p w14:paraId="592F2B7C" w14:textId="29B2D634" w:rsidR="00E51A3D" w:rsidRDefault="00E51A3D">
      <w:pPr>
        <w:pStyle w:val="Testonotaapidipagina"/>
      </w:pPr>
      <w:r>
        <w:rPr>
          <w:rStyle w:val="Rimandonotaapidipagina"/>
        </w:rPr>
        <w:footnoteRef/>
      </w:r>
      <w:r>
        <w:t xml:space="preserve"> Cfr klein</w:t>
      </w:r>
    </w:p>
  </w:footnote>
  <w:footnote w:id="22">
    <w:p w14:paraId="62A2CF16" w14:textId="6AD69091" w:rsidR="00E51A3D" w:rsidRDefault="00E51A3D">
      <w:pPr>
        <w:pStyle w:val="Testonotaapidipagina"/>
      </w:pPr>
      <w:r>
        <w:rPr>
          <w:rStyle w:val="Rimandonotaapidipagina"/>
        </w:rPr>
        <w:footnoteRef/>
      </w:r>
      <w:r>
        <w:t xml:space="preserve"> rimini</w:t>
      </w:r>
    </w:p>
  </w:footnote>
  <w:footnote w:id="23">
    <w:p w14:paraId="25A054AC" w14:textId="2EB5B763" w:rsidR="00E51A3D" w:rsidRDefault="00E51A3D">
      <w:pPr>
        <w:pStyle w:val="Testonotaapidipagina"/>
      </w:pPr>
      <w:r>
        <w:rPr>
          <w:rStyle w:val="Rimandonotaapidipagina"/>
        </w:rPr>
        <w:footnoteRef/>
      </w:r>
      <w:r>
        <w:t xml:space="preserve"> klein</w:t>
      </w:r>
    </w:p>
  </w:footnote>
  <w:footnote w:id="24">
    <w:p w14:paraId="6C62D347" w14:textId="0F013E96" w:rsidR="00E51A3D" w:rsidRDefault="00E51A3D">
      <w:pPr>
        <w:pStyle w:val="Testonotaapidipagina"/>
      </w:pPr>
      <w:r>
        <w:rPr>
          <w:rStyle w:val="Rimandonotaapidipagina"/>
        </w:rPr>
        <w:footnoteRef/>
      </w:r>
      <w:r>
        <w:t xml:space="preserve"> riferimento a manuale di statistica</w:t>
      </w:r>
    </w:p>
  </w:footnote>
  <w:footnote w:id="25">
    <w:p w14:paraId="6B9DCD7C" w14:textId="70D1CD3B" w:rsidR="00E51A3D" w:rsidRDefault="00E51A3D">
      <w:pPr>
        <w:pStyle w:val="Testonotaapidipagina"/>
      </w:pPr>
      <w:r>
        <w:rPr>
          <w:rStyle w:val="Rimandonotaapidipagina"/>
        </w:rPr>
        <w:footnoteRef/>
      </w:r>
      <w:r>
        <w:t xml:space="preserve"> cita non da klein, magari da caffo</w:t>
      </w:r>
    </w:p>
  </w:footnote>
  <w:footnote w:id="26">
    <w:p w14:paraId="56740E53" w14:textId="5A2B8F94" w:rsidR="00E51A3D" w:rsidRDefault="00E51A3D">
      <w:pPr>
        <w:pStyle w:val="Testonotaapidipagina"/>
      </w:pPr>
      <w:r>
        <w:rPr>
          <w:rStyle w:val="Rimandonotaapidipagina"/>
        </w:rPr>
        <w:footnoteRef/>
      </w:r>
      <w:r>
        <w:t xml:space="preserve"> klein 280</w:t>
      </w:r>
    </w:p>
  </w:footnote>
  <w:footnote w:id="27">
    <w:p w14:paraId="2054DE91" w14:textId="1B00E335" w:rsidR="00E51A3D" w:rsidRDefault="00E51A3D">
      <w:pPr>
        <w:pStyle w:val="Testonotaapidipagina"/>
      </w:pPr>
      <w:r>
        <w:rPr>
          <w:rStyle w:val="Rimandonotaapidipagina"/>
        </w:rPr>
        <w:footnoteRef/>
      </w:r>
      <w:r>
        <w:t xml:space="preserve"> che si possa usare anche nella regressione multipla cfr </w:t>
      </w:r>
      <w:hyperlink r:id="rId1" w:history="1">
        <w:r w:rsidRPr="00B77FB3">
          <w:rPr>
            <w:rStyle w:val="Collegamentoipertestuale"/>
          </w:rPr>
          <w:t>http://citeseerx.ist.psu.edu/viewdoc/download?doi=10.1.1.490.7640&amp;rep=rep1&amp;type=pdf</w:t>
        </w:r>
      </w:hyperlink>
      <w:r>
        <w:rPr>
          <w:u w:val="single"/>
        </w:rPr>
        <w:t xml:space="preserve"> </w:t>
      </w:r>
    </w:p>
  </w:footnote>
  <w:footnote w:id="28">
    <w:p w14:paraId="0CF5361D" w14:textId="4964D08A" w:rsidR="00E51A3D" w:rsidRDefault="00E51A3D">
      <w:pPr>
        <w:pStyle w:val="Testonotaapidipagina"/>
      </w:pPr>
      <w:r>
        <w:rPr>
          <w:rStyle w:val="Rimandonotaapidipagina"/>
        </w:rPr>
        <w:footnoteRef/>
      </w:r>
      <w:r>
        <w:t xml:space="preserve"> esistono anche altre tecniche, cita caffo.</w:t>
      </w:r>
    </w:p>
  </w:footnote>
  <w:footnote w:id="29">
    <w:p w14:paraId="3C429483" w14:textId="579D46A3" w:rsidR="00E51A3D" w:rsidRDefault="00E51A3D">
      <w:pPr>
        <w:pStyle w:val="Testonotaapidipagina"/>
      </w:pPr>
      <w:r>
        <w:rPr>
          <w:rStyle w:val="Rimandonotaapidipagina"/>
        </w:rPr>
        <w:footnoteRef/>
      </w:r>
      <w:r>
        <w:t xml:space="preserve"> </w:t>
      </w:r>
      <w:hyperlink r:id="rId2" w:history="1">
        <w:r w:rsidRPr="00B77FB3">
          <w:rPr>
            <w:rStyle w:val="Collegamentoipertestuale"/>
          </w:rPr>
          <w:t>http://support.sas.com/resources/papers/proceedings14/1485-2014.pdf</w:t>
        </w:r>
      </w:hyperlink>
      <w:r>
        <w:t xml:space="preserve"> di che buona parte del paragrafo si ispira a quello</w:t>
      </w:r>
    </w:p>
  </w:footnote>
  <w:footnote w:id="30">
    <w:p w14:paraId="498121B9" w14:textId="24DDC116" w:rsidR="00E51A3D" w:rsidRDefault="00E51A3D">
      <w:pPr>
        <w:pStyle w:val="Testonotaapidipagina"/>
      </w:pPr>
      <w:r>
        <w:rPr>
          <w:rStyle w:val="Rimandonotaapidipagina"/>
        </w:rPr>
        <w:footnoteRef/>
      </w:r>
      <w:r>
        <w:t xml:space="preserve"> rimanda al primo capitolo.</w:t>
      </w:r>
    </w:p>
  </w:footnote>
  <w:footnote w:id="31">
    <w:p w14:paraId="1AE4026A" w14:textId="0BCCA044" w:rsidR="00E51A3D" w:rsidRDefault="00E51A3D">
      <w:pPr>
        <w:pStyle w:val="Testonotaapidipagina"/>
      </w:pPr>
      <w:r>
        <w:rPr>
          <w:rStyle w:val="Rimandonotaapidipagina"/>
        </w:rPr>
        <w:footnoteRef/>
      </w:r>
      <w:r>
        <w:t xml:space="preserve"> Hosmer 5.2.1</w:t>
      </w:r>
    </w:p>
  </w:footnote>
  <w:footnote w:id="32">
    <w:p w14:paraId="3D1CD39F" w14:textId="3DF8DA3B" w:rsidR="00E51A3D" w:rsidRDefault="00E51A3D">
      <w:pPr>
        <w:pStyle w:val="Testonotaapidipagina"/>
      </w:pPr>
      <w:r>
        <w:rPr>
          <w:rStyle w:val="Rimandonotaapidipagina"/>
        </w:rPr>
        <w:footnoteRef/>
      </w:r>
      <w:r>
        <w:t xml:space="preserve"> cita rimini come grande fonte</w:t>
      </w:r>
    </w:p>
  </w:footnote>
  <w:footnote w:id="33">
    <w:p w14:paraId="1831EB19" w14:textId="77777777" w:rsidR="00E51A3D" w:rsidRDefault="00E51A3D" w:rsidP="00B83858">
      <w:pPr>
        <w:pStyle w:val="Testonotaapidipagina"/>
      </w:pPr>
      <w:r>
        <w:rPr>
          <w:rStyle w:val="Rimandonotaapidipagina"/>
        </w:rPr>
        <w:footnoteRef/>
      </w:r>
      <w:r>
        <w:t xml:space="preserve"> klein 306</w:t>
      </w:r>
    </w:p>
  </w:footnote>
  <w:footnote w:id="34">
    <w:p w14:paraId="034E10AE" w14:textId="7EC8CB95" w:rsidR="00E51A3D" w:rsidRDefault="00E51A3D">
      <w:pPr>
        <w:pStyle w:val="Testonotaapidipagina"/>
      </w:pPr>
      <w:r>
        <w:rPr>
          <w:rStyle w:val="Rimandonotaapidipagina"/>
        </w:rPr>
        <w:footnoteRef/>
      </w:r>
      <w:r>
        <w:t xml:space="preserve"> hosmer 5.2.1</w:t>
      </w:r>
    </w:p>
  </w:footnote>
  <w:footnote w:id="35">
    <w:p w14:paraId="30A46383" w14:textId="46278546" w:rsidR="00E51A3D" w:rsidRDefault="00E51A3D">
      <w:pPr>
        <w:pStyle w:val="Testonotaapidipagina"/>
      </w:pPr>
      <w:r>
        <w:rPr>
          <w:rStyle w:val="Rimandonotaapidipagina"/>
        </w:rPr>
        <w:footnoteRef/>
      </w:r>
      <w:r>
        <w:t xml:space="preserve"> </w:t>
      </w:r>
      <w:hyperlink r:id="rId3" w:history="1">
        <w:r w:rsidRPr="00B77FB3">
          <w:rPr>
            <w:rStyle w:val="Collegamentoipertestuale"/>
          </w:rPr>
          <w:t>http://support.sas.com/resources/papers/proceedings14/1485-2014.pdf</w:t>
        </w:r>
      </w:hyperlink>
      <w:r>
        <w:t xml:space="preserve"> </w:t>
      </w:r>
    </w:p>
  </w:footnote>
  <w:footnote w:id="36">
    <w:p w14:paraId="0791AA3B" w14:textId="1939E292" w:rsidR="00E51A3D" w:rsidRDefault="00E51A3D">
      <w:pPr>
        <w:pStyle w:val="Testonotaapidipagina"/>
      </w:pPr>
      <w:r>
        <w:rPr>
          <w:rStyle w:val="Rimandonotaapidipagina"/>
        </w:rPr>
        <w:footnoteRef/>
      </w:r>
      <w:r>
        <w:t xml:space="preserve"> Klein 312-318, da cui si prende spunto per il paragrafo.</w:t>
      </w:r>
    </w:p>
  </w:footnote>
  <w:footnote w:id="37">
    <w:p w14:paraId="1F83E4A1" w14:textId="2CF752E9" w:rsidR="00E51A3D" w:rsidRDefault="00E51A3D" w:rsidP="001A7821">
      <w:pPr>
        <w:pStyle w:val="Paragrafoelenco"/>
      </w:pPr>
      <w:r>
        <w:rPr>
          <w:rStyle w:val="Rimandonotaapidipagina"/>
        </w:rPr>
        <w:footnoteRef/>
      </w:r>
      <w:r>
        <w:t xml:space="preserve"> Hosmer D.W. and S. Lemeshow (1980) “A goodness-of-fit test for the multiple logistic regression model.” </w:t>
      </w:r>
      <w:r>
        <w:rPr>
          <w:rFonts w:ascii="Times" w:hAnsi="Times" w:cs="Times"/>
        </w:rPr>
        <w:t xml:space="preserve">Communications in Statistics </w:t>
      </w:r>
      <w:r>
        <w:t>A10:1043-1069</w:t>
      </w:r>
    </w:p>
  </w:footnote>
  <w:footnote w:id="38">
    <w:p w14:paraId="3CC384D0" w14:textId="10B1D664" w:rsidR="00E51A3D" w:rsidRDefault="00E51A3D">
      <w:pPr>
        <w:pStyle w:val="Testonotaapidipagina"/>
      </w:pPr>
      <w:r>
        <w:rPr>
          <w:rStyle w:val="Rimandonotaapidipagina"/>
        </w:rPr>
        <w:footnoteRef/>
      </w:r>
      <w:r>
        <w:t xml:space="preserve"> cita log reg using sas di allisan 3.6</w:t>
      </w:r>
    </w:p>
  </w:footnote>
  <w:footnote w:id="39">
    <w:p w14:paraId="2B90C02A" w14:textId="77777777" w:rsidR="00E51A3D" w:rsidRDefault="00E51A3D" w:rsidP="00A57E6D">
      <w:pPr>
        <w:pStyle w:val="Testonotaapidipagina"/>
      </w:pPr>
      <w:r>
        <w:rPr>
          <w:rStyle w:val="Rimandonotaapidipagina"/>
        </w:rPr>
        <w:footnoteRef/>
      </w:r>
      <w:r>
        <w:t xml:space="preserve"> </w:t>
      </w:r>
      <w:hyperlink r:id="rId4" w:history="1">
        <w:r w:rsidRPr="00B77FB3">
          <w:rPr>
            <w:rStyle w:val="Collegamentoipertestuale"/>
          </w:rPr>
          <w:t>http://statisticalhorizons.com/hosmer-lemeshow</w:t>
        </w:r>
      </w:hyperlink>
      <w:r>
        <w:t xml:space="preserve"> </w:t>
      </w:r>
    </w:p>
  </w:footnote>
  <w:footnote w:id="40">
    <w:p w14:paraId="320E9C97" w14:textId="70F4A02A" w:rsidR="00E51A3D" w:rsidRDefault="00E51A3D">
      <w:pPr>
        <w:pStyle w:val="Testonotaapidipagina"/>
      </w:pPr>
      <w:r>
        <w:rPr>
          <w:rStyle w:val="Rimandonotaapidipagina"/>
        </w:rPr>
        <w:footnoteRef/>
      </w:r>
      <w:r>
        <w:t xml:space="preserve"> </w:t>
      </w:r>
      <w:hyperlink r:id="rId5" w:history="1">
        <w:r w:rsidRPr="00AE4134">
          <w:rPr>
            <w:rStyle w:val="Collegamentoipertestuale"/>
          </w:rPr>
          <w:t>http://www.readcube.com/articles/10.1186%2F1751-0473-3-17</w:t>
        </w:r>
      </w:hyperlink>
      <w:r>
        <w:t xml:space="preserve"> </w:t>
      </w:r>
    </w:p>
  </w:footnote>
  <w:footnote w:id="41">
    <w:p w14:paraId="060A416A" w14:textId="77777777" w:rsidR="00E51A3D" w:rsidRDefault="00E51A3D" w:rsidP="00E81EAC">
      <w:pPr>
        <w:pStyle w:val="Testonotaapidipagina"/>
      </w:pPr>
      <w:r>
        <w:rPr>
          <w:rStyle w:val="Rimandonotaapidipagina"/>
        </w:rPr>
        <w:footnoteRef/>
      </w:r>
      <w:r>
        <w:t xml:space="preserve"> klein, p. 244  e seguenti.</w:t>
      </w:r>
    </w:p>
  </w:footnote>
  <w:footnote w:id="42">
    <w:p w14:paraId="01FBE11B" w14:textId="33563B3D" w:rsidR="00E51A3D" w:rsidRDefault="00E51A3D">
      <w:pPr>
        <w:pStyle w:val="Testonotaapidipagina"/>
      </w:pPr>
      <w:r>
        <w:rPr>
          <w:rStyle w:val="Rimandonotaapidipagina"/>
        </w:rPr>
        <w:footnoteRef/>
      </w:r>
      <w:hyperlink r:id="rId6" w:history="1">
        <w:r w:rsidRPr="00563E01">
          <w:rPr>
            <w:rStyle w:val="Collegamentoipertestuale"/>
          </w:rPr>
          <w:t>http://www.sociol.unimi.it/docenti/curini/Multivariate%20PHD%202015/Logit%20&amp;%20Probit%20Diagnostic/PhD%202015%20Probit%20Logit%20Diagnostic.pdf</w:t>
        </w:r>
      </w:hyperlink>
      <w:r>
        <w:t xml:space="preserve"> </w:t>
      </w:r>
    </w:p>
  </w:footnote>
  <w:footnote w:id="43">
    <w:p w14:paraId="5E6975FB" w14:textId="1A9764EA" w:rsidR="00E51A3D" w:rsidRPr="003D6BA0" w:rsidRDefault="00E51A3D">
      <w:pPr>
        <w:pStyle w:val="Testonotaapidipagina"/>
      </w:pPr>
      <w:r>
        <w:rPr>
          <w:rStyle w:val="Rimandonotaapidipagina"/>
        </w:rPr>
        <w:footnoteRef/>
      </w:r>
      <w:r>
        <w:t xml:space="preserve"> cosa che, se non accade, può generare problemi di </w:t>
      </w:r>
      <w:r w:rsidRPr="003D6BA0">
        <w:rPr>
          <w:i/>
        </w:rPr>
        <w:t>overdispersion</w:t>
      </w:r>
      <w:r>
        <w:t xml:space="preserve">, cfr. </w:t>
      </w:r>
      <w:hyperlink r:id="rId7" w:history="1">
        <w:r w:rsidRPr="00563E01">
          <w:rPr>
            <w:rStyle w:val="Collegamentoipertestuale"/>
          </w:rPr>
          <w:t>https://onlinecourses.science.psu.edu/stat504/node/162</w:t>
        </w:r>
      </w:hyperlink>
      <w:r>
        <w:t xml:space="preserve"> </w:t>
      </w:r>
    </w:p>
  </w:footnote>
  <w:footnote w:id="44">
    <w:p w14:paraId="2B31FCC6" w14:textId="71983DD2" w:rsidR="00E51A3D" w:rsidRDefault="00E51A3D">
      <w:pPr>
        <w:pStyle w:val="Testonotaapidipagina"/>
      </w:pPr>
      <w:r>
        <w:rPr>
          <w:rStyle w:val="Rimandonotaapidipagina"/>
        </w:rPr>
        <w:footnoteRef/>
      </w:r>
      <w:hyperlink r:id="rId8" w:history="1">
        <w:r w:rsidRPr="00EB21AD">
          <w:rPr>
            <w:rStyle w:val="Collegamentoipertestuale"/>
          </w:rPr>
          <w:t>http://www.sociol.unimi.it/docenti/curini/Multivariate%20PHD%202015/Logit%20&amp;%20Probit%20Diagnostic/PhD%202015%20Probit%20Logit%20Diagnostic.pdf</w:t>
        </w:r>
      </w:hyperlink>
      <w:r>
        <w:t xml:space="preserve"> </w:t>
      </w:r>
    </w:p>
  </w:footnote>
  <w:footnote w:id="45">
    <w:p w14:paraId="38947FAC" w14:textId="04B93F94" w:rsidR="00E51A3D" w:rsidRDefault="00E51A3D">
      <w:pPr>
        <w:pStyle w:val="Testonotaapidipagina"/>
      </w:pPr>
      <w:r>
        <w:rPr>
          <w:rStyle w:val="Rimandonotaapidipagina"/>
        </w:rPr>
        <w:footnoteRef/>
      </w:r>
      <w:r>
        <w:t xml:space="preserve"> </w:t>
      </w:r>
      <w:hyperlink r:id="rId9" w:history="1">
        <w:r w:rsidRPr="00EB21AD">
          <w:rPr>
            <w:rStyle w:val="Collegamentoipertestuale"/>
          </w:rPr>
          <w:t>https://onlinecourses.science.psu.edu/stat504/node/161</w:t>
        </w:r>
      </w:hyperlink>
    </w:p>
  </w:footnote>
  <w:footnote w:id="46">
    <w:p w14:paraId="508A46E9" w14:textId="075091D2" w:rsidR="00E51A3D" w:rsidRDefault="00E51A3D">
      <w:pPr>
        <w:pStyle w:val="Testonotaapidipagina"/>
      </w:pPr>
      <w:r>
        <w:rPr>
          <w:rStyle w:val="Rimandonotaapidipagina"/>
        </w:rPr>
        <w:footnoteRef/>
      </w:r>
      <w:r>
        <w:t xml:space="preserve"> </w:t>
      </w:r>
      <w:hyperlink r:id="rId10" w:history="1">
        <w:r w:rsidRPr="00D2677D">
          <w:rPr>
            <w:rStyle w:val="Collegamentoipertestuale"/>
          </w:rPr>
          <w:t>http://www.amstat.org/sections/SRMS/Proceedings/y2001/Proceed/00276.pdf</w:t>
        </w:r>
      </w:hyperlink>
      <w:r>
        <w:t xml:space="preserve"> pp 2-3.</w:t>
      </w:r>
    </w:p>
  </w:footnote>
  <w:footnote w:id="47">
    <w:p w14:paraId="031E4430" w14:textId="3D32C4A9" w:rsidR="00E51A3D" w:rsidRDefault="00E51A3D">
      <w:pPr>
        <w:pStyle w:val="Testonotaapidipagina"/>
      </w:pPr>
      <w:r>
        <w:rPr>
          <w:rStyle w:val="Rimandonotaapidipagina"/>
        </w:rPr>
        <w:footnoteRef/>
      </w:r>
      <w:r>
        <w:t xml:space="preserve"> Klein, logreg with sas e lemeshow.</w:t>
      </w:r>
    </w:p>
  </w:footnote>
  <w:footnote w:id="48">
    <w:p w14:paraId="35C1A050" w14:textId="04A25B22" w:rsidR="00E51A3D" w:rsidRDefault="00E51A3D">
      <w:pPr>
        <w:pStyle w:val="Testonotaapidipagina"/>
      </w:pPr>
      <w:r>
        <w:rPr>
          <w:rStyle w:val="Rimandonotaapidipagina"/>
        </w:rPr>
        <w:footnoteRef/>
      </w:r>
      <w:r>
        <w:t xml:space="preserve"> Caffo pp 96 e 97</w:t>
      </w:r>
    </w:p>
  </w:footnote>
  <w:footnote w:id="49">
    <w:p w14:paraId="7F174503" w14:textId="6A97C054" w:rsidR="00E51A3D" w:rsidRDefault="00E51A3D">
      <w:pPr>
        <w:pStyle w:val="Testonotaapidipagina"/>
      </w:pPr>
      <w:r>
        <w:rPr>
          <w:rStyle w:val="Rimandonotaapidipagina"/>
        </w:rPr>
        <w:footnoteRef/>
      </w:r>
      <w:r>
        <w:t xml:space="preserve"> klein 271</w:t>
      </w:r>
    </w:p>
  </w:footnote>
  <w:footnote w:id="50">
    <w:p w14:paraId="64E4B11D" w14:textId="0A33F616" w:rsidR="008C5EAF" w:rsidRDefault="008C5EAF">
      <w:pPr>
        <w:pStyle w:val="Testonotaapidipagina"/>
      </w:pPr>
      <w:r>
        <w:rPr>
          <w:rStyle w:val="Rimandonotaapidipagina"/>
        </w:rPr>
        <w:footnoteRef/>
      </w:r>
      <w:r>
        <w:t xml:space="preserve"> </w:t>
      </w:r>
      <w:hyperlink r:id="rId11" w:history="1">
        <w:r w:rsidRPr="00393847">
          <w:rPr>
            <w:rStyle w:val="Collegamentoipertestuale"/>
          </w:rPr>
          <w:t>http://www.amstat.org/sections/srms/proceedings/y2002/files/JSM2002-000839.pdf</w:t>
        </w:r>
      </w:hyperlink>
      <w:r>
        <w:t xml:space="preserve"> p1.</w:t>
      </w:r>
    </w:p>
  </w:footnote>
  <w:footnote w:id="51">
    <w:p w14:paraId="357C5CF9" w14:textId="77777777" w:rsidR="00A71429" w:rsidRDefault="00A71429" w:rsidP="00A71429">
      <w:pPr>
        <w:pStyle w:val="Testonotaapidipagina"/>
      </w:pPr>
      <w:r>
        <w:rPr>
          <w:rStyle w:val="Rimandonotaapidipagina"/>
        </w:rPr>
        <w:footnoteRef/>
      </w:r>
      <w:r>
        <w:t xml:space="preserve"> </w:t>
      </w:r>
      <w:hyperlink r:id="rId12" w:history="1">
        <w:r w:rsidRPr="00393847">
          <w:rPr>
            <w:rStyle w:val="Collegamentoipertestuale"/>
          </w:rPr>
          <w:t>http://www.statcan.gc.ca/pub/12-001-x/2012002/article/11757-eng.pdf</w:t>
        </w:r>
      </w:hyperlink>
      <w:r>
        <w:t xml:space="preserve"> p 5</w:t>
      </w:r>
    </w:p>
  </w:footnote>
  <w:footnote w:id="52">
    <w:p w14:paraId="4CE6A653" w14:textId="43DCA825" w:rsidR="00300EAE" w:rsidRDefault="00300EAE">
      <w:pPr>
        <w:pStyle w:val="Testonotaapidipagina"/>
      </w:pPr>
      <w:r>
        <w:rPr>
          <w:rStyle w:val="Rimandonotaapidipagina"/>
        </w:rPr>
        <w:footnoteRef/>
      </w:r>
      <w:r>
        <w:t xml:space="preserve"> klein 271</w:t>
      </w:r>
    </w:p>
  </w:footnote>
  <w:footnote w:id="53">
    <w:p w14:paraId="2FEAAD67" w14:textId="7C87407C" w:rsidR="00300EAE" w:rsidRDefault="00300EAE">
      <w:pPr>
        <w:pStyle w:val="Testonotaapidipagina"/>
      </w:pPr>
      <w:r>
        <w:rPr>
          <w:rStyle w:val="Rimandonotaapidipagina"/>
        </w:rPr>
        <w:footnoteRef/>
      </w:r>
      <w:r>
        <w:t xml:space="preserve"> klein 273</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093A69FA"/>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erico Costantini">
    <w15:presenceInfo w15:providerId="Windows Live" w15:userId="1234f3b9fb8bdc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55C72"/>
    <w:rsid w:val="000644E2"/>
    <w:rsid w:val="00065099"/>
    <w:rsid w:val="00076F71"/>
    <w:rsid w:val="000843AD"/>
    <w:rsid w:val="000A6855"/>
    <w:rsid w:val="000C0752"/>
    <w:rsid w:val="000F62D6"/>
    <w:rsid w:val="00105287"/>
    <w:rsid w:val="00112E48"/>
    <w:rsid w:val="0011577B"/>
    <w:rsid w:val="00117CE3"/>
    <w:rsid w:val="00123923"/>
    <w:rsid w:val="0013503A"/>
    <w:rsid w:val="001407EF"/>
    <w:rsid w:val="00140866"/>
    <w:rsid w:val="001872F6"/>
    <w:rsid w:val="001A7821"/>
    <w:rsid w:val="001C035E"/>
    <w:rsid w:val="001C6038"/>
    <w:rsid w:val="001D322F"/>
    <w:rsid w:val="001E18EE"/>
    <w:rsid w:val="001E2C42"/>
    <w:rsid w:val="00226066"/>
    <w:rsid w:val="00244DB2"/>
    <w:rsid w:val="00256AA5"/>
    <w:rsid w:val="002577BB"/>
    <w:rsid w:val="002666C2"/>
    <w:rsid w:val="00287C4F"/>
    <w:rsid w:val="00294C88"/>
    <w:rsid w:val="002A0D1D"/>
    <w:rsid w:val="002A1CCF"/>
    <w:rsid w:val="002A5A3C"/>
    <w:rsid w:val="002B349B"/>
    <w:rsid w:val="002B3AA1"/>
    <w:rsid w:val="002C3303"/>
    <w:rsid w:val="002E53AB"/>
    <w:rsid w:val="00300EAE"/>
    <w:rsid w:val="00302690"/>
    <w:rsid w:val="00311E40"/>
    <w:rsid w:val="00327FE3"/>
    <w:rsid w:val="00337768"/>
    <w:rsid w:val="00344E78"/>
    <w:rsid w:val="00345BCC"/>
    <w:rsid w:val="0035529A"/>
    <w:rsid w:val="00363CC6"/>
    <w:rsid w:val="00391ECD"/>
    <w:rsid w:val="00396EC4"/>
    <w:rsid w:val="003D6BA0"/>
    <w:rsid w:val="003E4011"/>
    <w:rsid w:val="003F0096"/>
    <w:rsid w:val="0040447E"/>
    <w:rsid w:val="004108B8"/>
    <w:rsid w:val="00425719"/>
    <w:rsid w:val="00452108"/>
    <w:rsid w:val="00452F78"/>
    <w:rsid w:val="0045619F"/>
    <w:rsid w:val="004577FC"/>
    <w:rsid w:val="00471D8F"/>
    <w:rsid w:val="00472146"/>
    <w:rsid w:val="00486B04"/>
    <w:rsid w:val="00493082"/>
    <w:rsid w:val="0049709A"/>
    <w:rsid w:val="004A5E7B"/>
    <w:rsid w:val="004C039F"/>
    <w:rsid w:val="004C3BD5"/>
    <w:rsid w:val="004C49B8"/>
    <w:rsid w:val="004E6BF1"/>
    <w:rsid w:val="004E72C8"/>
    <w:rsid w:val="004F47E5"/>
    <w:rsid w:val="004F5E26"/>
    <w:rsid w:val="005177D7"/>
    <w:rsid w:val="00554A20"/>
    <w:rsid w:val="00557E34"/>
    <w:rsid w:val="00562A5A"/>
    <w:rsid w:val="00571328"/>
    <w:rsid w:val="005D45C1"/>
    <w:rsid w:val="005E1CCC"/>
    <w:rsid w:val="005E2FAA"/>
    <w:rsid w:val="005F27F6"/>
    <w:rsid w:val="005F3B42"/>
    <w:rsid w:val="005F3FA8"/>
    <w:rsid w:val="006175DB"/>
    <w:rsid w:val="00630C6E"/>
    <w:rsid w:val="00645ABD"/>
    <w:rsid w:val="006618A1"/>
    <w:rsid w:val="0067291D"/>
    <w:rsid w:val="00690037"/>
    <w:rsid w:val="00693B95"/>
    <w:rsid w:val="006A331A"/>
    <w:rsid w:val="006A68D0"/>
    <w:rsid w:val="006C17B7"/>
    <w:rsid w:val="006C7EEC"/>
    <w:rsid w:val="006F1EAD"/>
    <w:rsid w:val="007600F8"/>
    <w:rsid w:val="00766730"/>
    <w:rsid w:val="00781210"/>
    <w:rsid w:val="00782781"/>
    <w:rsid w:val="00796693"/>
    <w:rsid w:val="007C7E62"/>
    <w:rsid w:val="007F4185"/>
    <w:rsid w:val="00800291"/>
    <w:rsid w:val="00823A1E"/>
    <w:rsid w:val="00837825"/>
    <w:rsid w:val="0085299E"/>
    <w:rsid w:val="00876BAE"/>
    <w:rsid w:val="00877795"/>
    <w:rsid w:val="0088731B"/>
    <w:rsid w:val="00893A06"/>
    <w:rsid w:val="008B0EDD"/>
    <w:rsid w:val="008C5EAF"/>
    <w:rsid w:val="008C754E"/>
    <w:rsid w:val="008D121D"/>
    <w:rsid w:val="008D686A"/>
    <w:rsid w:val="008E441D"/>
    <w:rsid w:val="008E6ADA"/>
    <w:rsid w:val="008F69D4"/>
    <w:rsid w:val="00904328"/>
    <w:rsid w:val="00910956"/>
    <w:rsid w:val="0091636F"/>
    <w:rsid w:val="009342ED"/>
    <w:rsid w:val="00942785"/>
    <w:rsid w:val="00952F71"/>
    <w:rsid w:val="00966AD7"/>
    <w:rsid w:val="0097350A"/>
    <w:rsid w:val="00991460"/>
    <w:rsid w:val="0099414A"/>
    <w:rsid w:val="009C3618"/>
    <w:rsid w:val="009E0479"/>
    <w:rsid w:val="009F141E"/>
    <w:rsid w:val="009F448F"/>
    <w:rsid w:val="009F67C0"/>
    <w:rsid w:val="009F7863"/>
    <w:rsid w:val="00A126BF"/>
    <w:rsid w:val="00A12BDF"/>
    <w:rsid w:val="00A32F01"/>
    <w:rsid w:val="00A33454"/>
    <w:rsid w:val="00A414D7"/>
    <w:rsid w:val="00A57E6D"/>
    <w:rsid w:val="00A615DA"/>
    <w:rsid w:val="00A64321"/>
    <w:rsid w:val="00A64AB1"/>
    <w:rsid w:val="00A71429"/>
    <w:rsid w:val="00A756E3"/>
    <w:rsid w:val="00A85033"/>
    <w:rsid w:val="00AB322A"/>
    <w:rsid w:val="00AF2C34"/>
    <w:rsid w:val="00B00B49"/>
    <w:rsid w:val="00B00C40"/>
    <w:rsid w:val="00B24955"/>
    <w:rsid w:val="00B25B85"/>
    <w:rsid w:val="00B27EDA"/>
    <w:rsid w:val="00B46F54"/>
    <w:rsid w:val="00B6006E"/>
    <w:rsid w:val="00B61F55"/>
    <w:rsid w:val="00B83858"/>
    <w:rsid w:val="00B95808"/>
    <w:rsid w:val="00BC1B50"/>
    <w:rsid w:val="00BC3B0E"/>
    <w:rsid w:val="00C23740"/>
    <w:rsid w:val="00C369B6"/>
    <w:rsid w:val="00C4384F"/>
    <w:rsid w:val="00C61EA3"/>
    <w:rsid w:val="00C6739E"/>
    <w:rsid w:val="00C74E32"/>
    <w:rsid w:val="00C82670"/>
    <w:rsid w:val="00CA18C4"/>
    <w:rsid w:val="00CB3C2D"/>
    <w:rsid w:val="00CC21DA"/>
    <w:rsid w:val="00CC23A9"/>
    <w:rsid w:val="00CD3E77"/>
    <w:rsid w:val="00CF2B10"/>
    <w:rsid w:val="00D170E0"/>
    <w:rsid w:val="00D32302"/>
    <w:rsid w:val="00D5017F"/>
    <w:rsid w:val="00D66520"/>
    <w:rsid w:val="00D83187"/>
    <w:rsid w:val="00DB0B95"/>
    <w:rsid w:val="00DB3E97"/>
    <w:rsid w:val="00DC670C"/>
    <w:rsid w:val="00DC70EB"/>
    <w:rsid w:val="00E16999"/>
    <w:rsid w:val="00E363E7"/>
    <w:rsid w:val="00E46CD3"/>
    <w:rsid w:val="00E4744F"/>
    <w:rsid w:val="00E51408"/>
    <w:rsid w:val="00E51A3D"/>
    <w:rsid w:val="00E531A6"/>
    <w:rsid w:val="00E81EAC"/>
    <w:rsid w:val="00EC1AB0"/>
    <w:rsid w:val="00EC26CE"/>
    <w:rsid w:val="00ED392D"/>
    <w:rsid w:val="00ED62DC"/>
    <w:rsid w:val="00EF18EF"/>
    <w:rsid w:val="00EF37B4"/>
    <w:rsid w:val="00EF60A7"/>
    <w:rsid w:val="00F11FAF"/>
    <w:rsid w:val="00F30ECC"/>
    <w:rsid w:val="00F34D05"/>
    <w:rsid w:val="00F413CA"/>
    <w:rsid w:val="00F54A3D"/>
    <w:rsid w:val="00F630D3"/>
    <w:rsid w:val="00F772B3"/>
    <w:rsid w:val="00F94939"/>
    <w:rsid w:val="00F94962"/>
    <w:rsid w:val="00FB0831"/>
    <w:rsid w:val="00FB24BC"/>
    <w:rsid w:val="00FB393D"/>
    <w:rsid w:val="00FC414C"/>
    <w:rsid w:val="00FD2036"/>
    <w:rsid w:val="00FE7928"/>
    <w:rsid w:val="00FF68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comments.xml.rels><?xml version="1.0" encoding="UTF-8" standalone="yes"?>
<Relationships xmlns="http://schemas.openxmlformats.org/package/2006/relationships"><Relationship Id="rId1" Type="http://schemas.openxmlformats.org/officeDocument/2006/relationships/hyperlink" Target="https://onlinecourses.science.psu.edu/stat504/node/161" TargetMode="External"/><Relationship Id="rId2" Type="http://schemas.openxmlformats.org/officeDocument/2006/relationships/hyperlink" Target="http://www.stat.ubc.ca/~rollin/teach/536w10/lec16.pdf" TargetMode="External"/><Relationship Id="rId3" Type="http://schemas.openxmlformats.org/officeDocument/2006/relationships/hyperlink" Target="http://www.amstat.org/sections/SRMS/Proceedings/y2001/Proceed/00276.pdf" TargetMode="External"/></Relationships>
</file>

<file path=word/_rels/document.xml.rels><?xml version="1.0" encoding="UTF-8" standalone="yes"?>
<Relationships xmlns="http://schemas.openxmlformats.org/package/2006/relationships"><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comments" Target="comments.xml"/></Relationships>
</file>

<file path=word/_rels/footnotes.xml.rels><?xml version="1.0" encoding="UTF-8" standalone="yes"?>
<Relationships xmlns="http://schemas.openxmlformats.org/package/2006/relationships"><Relationship Id="rId11" Type="http://schemas.openxmlformats.org/officeDocument/2006/relationships/hyperlink" Target="http://www.amstat.org/sections/srms/proceedings/y2002/files/JSM2002-000839.pdf" TargetMode="External"/><Relationship Id="rId12" Type="http://schemas.openxmlformats.org/officeDocument/2006/relationships/hyperlink" Target="http://www.statcan.gc.ca/pub/12-001-x/2012002/article/11757-eng.pdf" TargetMode="External"/><Relationship Id="rId1" Type="http://schemas.openxmlformats.org/officeDocument/2006/relationships/hyperlink" Target="http://citeseerx.ist.psu.edu/viewdoc/download?doi=10.1.1.490.7640&amp;rep=rep1&amp;type=pdf" TargetMode="External"/><Relationship Id="rId2" Type="http://schemas.openxmlformats.org/officeDocument/2006/relationships/hyperlink" Target="http://support.sas.com/resources/papers/proceedings14/1485-2014.pdf" TargetMode="External"/><Relationship Id="rId3" Type="http://schemas.openxmlformats.org/officeDocument/2006/relationships/hyperlink" Target="http://support.sas.com/resources/papers/proceedings14/1485-2014.pdf" TargetMode="External"/><Relationship Id="rId4" Type="http://schemas.openxmlformats.org/officeDocument/2006/relationships/hyperlink" Target="http://statisticalhorizons.com/hosmer-lemeshow" TargetMode="External"/><Relationship Id="rId5" Type="http://schemas.openxmlformats.org/officeDocument/2006/relationships/hyperlink" Target="http://www.readcube.com/articles/10.1186%2F1751-0473-3-17" TargetMode="External"/><Relationship Id="rId6" Type="http://schemas.openxmlformats.org/officeDocument/2006/relationships/hyperlink" Target="http://www.sociol.unimi.it/docenti/curini/Multivariate%20PHD%202015/Logit%20&amp;%20Probit%20Diagnostic/PhD%202015%20Probit%20Logit%20Diagnostic.pdf" TargetMode="External"/><Relationship Id="rId7" Type="http://schemas.openxmlformats.org/officeDocument/2006/relationships/hyperlink" Target="https://onlinecourses.science.psu.edu/stat504/node/162" TargetMode="External"/><Relationship Id="rId8" Type="http://schemas.openxmlformats.org/officeDocument/2006/relationships/hyperlink" Target="http://www.sociol.unimi.it/docenti/curini/Multivariate%20PHD%202015/Logit%20&amp;%20Probit%20Diagnostic/PhD%202015%20Probit%20Logit%20Diagnostic.pdf" TargetMode="External"/><Relationship Id="rId9" Type="http://schemas.openxmlformats.org/officeDocument/2006/relationships/hyperlink" Target="https://onlinecourses.science.psu.edu/stat504/node/161" TargetMode="External"/><Relationship Id="rId10" Type="http://schemas.openxmlformats.org/officeDocument/2006/relationships/hyperlink" Target="http://www.amstat.org/sections/SRMS/Proceedings/y2001/Proceed/00276.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CFA5B50A-9AB7-844E-919A-4D994C9F7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21</Pages>
  <Words>3745</Words>
  <Characters>21347</Characters>
  <Application>Microsoft Macintosh Word</Application>
  <DocSecurity>0</DocSecurity>
  <Lines>177</Lines>
  <Paragraphs>50</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25042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143</cp:revision>
  <dcterms:created xsi:type="dcterms:W3CDTF">2016-02-21T18:30:00Z</dcterms:created>
  <dcterms:modified xsi:type="dcterms:W3CDTF">2016-03-01T16:09:00Z</dcterms:modified>
</cp:coreProperties>
</file>