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B175CD" w:rsidRPr="009510E6" w:rsidRDefault="00B175CD"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B175CD" w:rsidRPr="009510E6" w:rsidRDefault="00B175CD"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585D9E4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 mentre quelle indipendenti verranno indistintamente denotate come parametri, regressori,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w:t>
      </w:r>
      <w:r>
        <w:lastRenderedPageBreak/>
        <w:t>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e che sia indipendente (non 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lastRenderedPageBreak/>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lastRenderedPageBreak/>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A51B0D"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xml:space="preserve">. Un ulteriore svantaggio è che, adattandosi molto ai dati processati, i </w:t>
      </w:r>
      <w:r w:rsidR="00326606">
        <w:lastRenderedPageBreak/>
        <w:t>modelli non-parametrici tendono a soffrire di più di un concetto chiave che incontreremo nel proseguo della trattazione, ovvero l’</w:t>
      </w:r>
      <w:r w:rsidR="00326606" w:rsidRPr="00326606">
        <w:rPr>
          <w:i/>
        </w:rPr>
        <w:t>overfitting</w:t>
      </w:r>
      <w:r w:rsidR="00326606">
        <w:t>.</w:t>
      </w:r>
    </w:p>
    <w:p w14:paraId="538D8C5F" w14:textId="78E9416B" w:rsidR="00424F16" w:rsidRDefault="00424F16" w:rsidP="00424F16">
      <w:pPr>
        <w:pStyle w:val="Titolo3"/>
      </w:pPr>
      <w:r>
        <w:t>Misurare l’adattamento ai dati del modello</w:t>
      </w:r>
    </w:p>
    <w:p w14:paraId="480A0A5A" w14:textId="4ADCBE84"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xml:space="preserve">, la regressione logistica l’AUC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w:t>
      </w:r>
      <w:r w:rsidR="00215F8A">
        <w:rPr>
          <w:rFonts w:eastAsiaTheme="minorEastAsia"/>
        </w:rPr>
        <w:lastRenderedPageBreak/>
        <w:t xml:space="preserve">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lastRenderedPageBreak/>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lastRenderedPageBreak/>
        <w:t>Distorsione e varianza della stima</w:t>
      </w:r>
      <w:r>
        <w:t xml:space="preserve">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w:t>
      </w:r>
      <w:r w:rsidR="00384355">
        <w:rPr>
          <w:rFonts w:eastAsiaTheme="minorEastAsia"/>
        </w:rPr>
        <w:t xml:space="preserve">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w:t>
      </w:r>
      <w:r w:rsidR="00384355">
        <w:rPr>
          <w:rFonts w:eastAsiaTheme="minorEastAsia"/>
        </w:rPr>
        <w:t xml:space="preserve">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w:t>
      </w:r>
      <w:r w:rsidR="00384355">
        <w:rPr>
          <w:rFonts w:eastAsiaTheme="minorEastAsia"/>
        </w:rPr>
        <w:t xml:space="preserve"> tante</w:t>
      </w:r>
      <w:r w:rsidR="00384355">
        <w:rPr>
          <w:rFonts w:eastAsiaTheme="minorEastAsia"/>
        </w:rPr>
        <w:t xml:space="preserv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lastRenderedPageBreak/>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xml:space="preserve">+ </m:t>
          </m:r>
          <m:r>
            <w:rPr>
              <w:rFonts w:ascii="Cambria Math" w:hAnsi="Cambria Math"/>
            </w:rPr>
            <m:t>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m:t>
          </m:r>
          <m:r>
            <w:rPr>
              <w:rFonts w:ascii="Cambria Math" w:hAnsi="Cambria Math"/>
            </w:rPr>
            <m:t>ε</m:t>
          </m:r>
          <m:r>
            <w:rPr>
              <w:rFonts w:ascii="Cambria Math" w:hAnsi="Cambria Math"/>
            </w:rPr>
            <m:t>)</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soluzione vicina a quella ottimale è fondamentale per avere un buon modello, e questo rimane uno dei punti di attenzione più critici per lo studioso.</w:t>
      </w:r>
    </w:p>
    <w:p w14:paraId="49BAEA4B" w14:textId="6559282B" w:rsidR="00117E41" w:rsidRDefault="00117E41" w:rsidP="00117E41">
      <w:pPr>
        <w:pStyle w:val="Titolo1"/>
      </w:pPr>
      <w:r>
        <w:t>Metodi di ricampionamento</w:t>
      </w:r>
    </w:p>
    <w:p w14:paraId="6ECCEEE6" w14:textId="528A3EF8" w:rsidR="00082EC8" w:rsidRDefault="00082EC8" w:rsidP="00082EC8">
      <w:r>
        <w:t>Capitolo 20 statistics</w:t>
      </w:r>
    </w:p>
    <w:p w14:paraId="688E7D4C" w14:textId="3D69C372" w:rsidR="00F1373D" w:rsidRDefault="00F1373D" w:rsidP="00082EC8">
      <w:r>
        <w:t>ESL 222</w:t>
      </w:r>
      <w:bookmarkStart w:id="1" w:name="_GoBack"/>
      <w:bookmarkEnd w:id="1"/>
    </w:p>
    <w:p w14:paraId="5654F586" w14:textId="43FE4929" w:rsidR="00A06FCA" w:rsidRDefault="00A06FCA" w:rsidP="00082EC8">
      <w:r>
        <w:t>Kuhn 70 ss</w:t>
      </w:r>
    </w:p>
    <w:p w14:paraId="7CCB01CF" w14:textId="68F11F70" w:rsidR="007343CE" w:rsidRDefault="007343CE" w:rsidP="00B7435C">
      <w:r>
        <w:t>train-validate-test paradigm (JMp 10)</w:t>
      </w:r>
    </w:p>
    <w:p w14:paraId="2CD21C63" w14:textId="53BA596D" w:rsidR="001852BA" w:rsidRDefault="001852BA" w:rsidP="00B7435C">
      <w:r>
        <w:t>di che serve per prevenire l’overfitting</w:t>
      </w:r>
    </w:p>
    <w:p w14:paraId="5F9C777E" w14:textId="10A10201" w:rsidR="00352714" w:rsidRPr="00082EC8" w:rsidRDefault="00352714" w:rsidP="00B7435C">
      <w:r>
        <w:t>di che serve per controllare il trade off bias variance</w:t>
      </w:r>
    </w:p>
    <w:p w14:paraId="2866D4D0" w14:textId="00B7FE39" w:rsidR="00117E41" w:rsidRDefault="00117E41" w:rsidP="00117E41">
      <w:pPr>
        <w:pStyle w:val="Titolo1"/>
      </w:pPr>
      <w:r>
        <w:lastRenderedPageBreak/>
        <w:t>Selezione delle variabili</w:t>
      </w:r>
      <w:r w:rsidR="007A2B83">
        <w:t xml:space="preserve"> e selezione del modello</w:t>
      </w:r>
    </w:p>
    <w:p w14:paraId="05EEFA68" w14:textId="73D9E8E6" w:rsidR="00012935" w:rsidRPr="00012935" w:rsidRDefault="00012935" w:rsidP="00012935">
      <w:r>
        <w:t>Vedi anche ng</w:t>
      </w:r>
    </w:p>
    <w:p w14:paraId="4ED40BB9" w14:textId="37D29B90" w:rsidR="00117E41" w:rsidRDefault="00117E41" w:rsidP="00117E41">
      <w:pPr>
        <w:pStyle w:val="Titolo1"/>
      </w:pPr>
      <w:r>
        <w:t>Misurazione delle performance dei modelli di classificazione binaria</w:t>
      </w:r>
    </w:p>
    <w:p w14:paraId="11092C6B" w14:textId="3D8B0D5F" w:rsidR="00414C86" w:rsidRPr="00414C86" w:rsidRDefault="00414C86" w:rsidP="00414C86">
      <w:r>
        <w:t>Non basta AUC e matrice. Voglio dire che se la prevalence è bassa l’accuracy non conta. Poi citare il DLR</w:t>
      </w:r>
    </w:p>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25"/>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26"/>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27"/>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28"/>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29"/>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30"/>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31"/>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32"/>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33"/>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34"/>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35"/>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36"/>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0F2F77"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0F2F77"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37"/>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38"/>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39"/>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40"/>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41"/>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0F2F77"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0F2F77"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42"/>
      </w:r>
      <w:r w:rsidR="00105287">
        <w:t xml:space="preserve">. Basterà quindi utilizzare la statistica test </w:t>
      </w:r>
      <m:oMath>
        <m:r>
          <w:rPr>
            <w:rFonts w:ascii="Cambria Math" w:hAnsi="Cambria Math"/>
          </w:rPr>
          <m:t>Z</m:t>
        </m:r>
      </m:oMath>
      <w:r w:rsidR="00105287" w:rsidRPr="007600F8">
        <w:rPr>
          <w:rStyle w:val="Rimandonotaapidipagina"/>
        </w:rPr>
        <w:footnoteReference w:id="43"/>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44"/>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45"/>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46"/>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47"/>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77777777"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48"/>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 xml:space="preserve">grande) o che un modello con scarso potere predittivo si adatti bene ai dati (in tal caso siamo di fronte a </w:t>
      </w:r>
      <w:r w:rsidR="00707389" w:rsidRPr="00707389">
        <w:rPr>
          <w:i/>
        </w:rPr>
        <w:t>overfitting</w:t>
      </w:r>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49"/>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50"/>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51"/>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lastRenderedPageBreak/>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0F2F77"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0F2F77"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52"/>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53"/>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54"/>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w:lastRenderedPageBreak/>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0F2F77"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55"/>
      </w:r>
      <w:r>
        <w:rPr>
          <w:rFonts w:eastAsiaTheme="minorEastAsia"/>
        </w:rPr>
        <w:t>.</w:t>
      </w:r>
    </w:p>
    <w:p w14:paraId="55874FCF" w14:textId="2AAD2BFB"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56"/>
      </w:r>
      <w:r w:rsidR="00F22CE6">
        <w:t xml:space="preserve"> e se la numerosità </w:t>
      </w:r>
      <w:r w:rsidR="009108C1">
        <w:t>degli eventi e dei non 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57"/>
        </m:r>
      </m:oMath>
      <w:r w:rsidR="00C82670">
        <w:t>. Con molte variabili 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lastRenderedPageBreak/>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58"/>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75C223BD"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non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e non 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Il numero atteso di eventi è solo la somma delle probabilità previste per tutti le osservazioni del gruppo. E il numero atteso di non eventi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59"/>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60"/>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61"/>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62"/>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63"/>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64"/>
      </w:r>
      <w:r w:rsidR="00411A5F">
        <w:t>; questo può non verificarsi in ragione dei dati che si è raccolto (serie storiche piuttosto che campionamento a grappoli</w:t>
      </w:r>
      <w:r w:rsidR="00411A5F">
        <w:rPr>
          <w:rStyle w:val="Rimandonotaapidipagina"/>
        </w:rPr>
        <w:footnoteReference w:id="65"/>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66"/>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67"/>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68"/>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69"/>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70"/>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71"/>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72"/>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73"/>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74"/>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75"/>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76"/>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77"/>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78"/>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Correzione (eventuale) di Bonferroni per test multipli;</w:t>
      </w:r>
    </w:p>
    <w:p w14:paraId="5D4495E0" w14:textId="4BE8AF2D" w:rsidR="00C74E32" w:rsidRPr="00EC1AB0" w:rsidRDefault="00E44734" w:rsidP="00E44734">
      <w:pPr>
        <w:pStyle w:val="Paragrafoelenco"/>
        <w:numPr>
          <w:ilvl w:val="0"/>
          <w:numId w:val="9"/>
        </w:numPr>
      </w:pPr>
      <w:r>
        <w:lastRenderedPageBreak/>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1"/>
      <w:footerReference w:type="default" r:id="rId12"/>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BE8C2" w14:textId="77777777" w:rsidR="0028307E" w:rsidRDefault="0028307E" w:rsidP="00FB0831">
      <w:pPr>
        <w:spacing w:after="0" w:line="240" w:lineRule="auto"/>
      </w:pPr>
      <w:r>
        <w:separator/>
      </w:r>
    </w:p>
  </w:endnote>
  <w:endnote w:type="continuationSeparator" w:id="0">
    <w:p w14:paraId="0F5E2F08" w14:textId="77777777" w:rsidR="0028307E" w:rsidRDefault="0028307E"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B175CD" w:rsidRDefault="00B175CD"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B175CD" w:rsidRDefault="00B175CD">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B175CD" w:rsidRDefault="00B175CD">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1373D">
      <w:rPr>
        <w:caps/>
        <w:noProof/>
        <w:color w:val="5B9BD5" w:themeColor="accent1"/>
      </w:rPr>
      <w:t>32</w:t>
    </w:r>
    <w:r>
      <w:rPr>
        <w:caps/>
        <w:color w:val="5B9BD5" w:themeColor="accent1"/>
      </w:rPr>
      <w:fldChar w:fldCharType="end"/>
    </w:r>
  </w:p>
  <w:p w14:paraId="5176805A" w14:textId="77777777" w:rsidR="00B175CD" w:rsidRDefault="00B175CD">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ABB15" w14:textId="77777777" w:rsidR="0028307E" w:rsidRDefault="0028307E" w:rsidP="00FB0831">
      <w:pPr>
        <w:spacing w:after="0" w:line="240" w:lineRule="auto"/>
      </w:pPr>
      <w:r>
        <w:separator/>
      </w:r>
    </w:p>
  </w:footnote>
  <w:footnote w:type="continuationSeparator" w:id="0">
    <w:p w14:paraId="32FFFED0" w14:textId="77777777" w:rsidR="0028307E" w:rsidRDefault="0028307E" w:rsidP="00FB0831">
      <w:pPr>
        <w:spacing w:after="0" w:line="240" w:lineRule="auto"/>
      </w:pPr>
      <w:r>
        <w:continuationSeparator/>
      </w:r>
    </w:p>
  </w:footnote>
  <w:footnote w:id="1">
    <w:p w14:paraId="739E980F" w14:textId="6C19FEE8" w:rsidR="00B175CD" w:rsidRDefault="00B175CD">
      <w:pPr>
        <w:pStyle w:val="Testonotaapidipagina"/>
      </w:pPr>
      <w:r>
        <w:rPr>
          <w:rStyle w:val="Rimandonotaapidipagina"/>
        </w:rPr>
        <w:footnoteRef/>
      </w:r>
      <w:r>
        <w:t xml:space="preserve"> Fai una citazione qui</w:t>
      </w:r>
    </w:p>
  </w:footnote>
  <w:footnote w:id="2">
    <w:p w14:paraId="2F0231CB" w14:textId="646225AC" w:rsidR="00B175CD" w:rsidRDefault="00B175CD">
      <w:pPr>
        <w:pStyle w:val="Testonotaapidipagina"/>
      </w:pPr>
      <w:r>
        <w:rPr>
          <w:rStyle w:val="Rimandonotaapidipagina"/>
        </w:rPr>
        <w:footnoteRef/>
      </w:r>
      <w:r>
        <w:t xml:space="preserve"> per i dettagli vedi capitolo terzo</w:t>
      </w:r>
    </w:p>
  </w:footnote>
  <w:footnote w:id="3">
    <w:p w14:paraId="1DC795F2" w14:textId="2FDB8890" w:rsidR="00B175CD" w:rsidRDefault="00B175CD">
      <w:pPr>
        <w:pStyle w:val="Testonotaapidipagina"/>
      </w:pPr>
      <w:r>
        <w:rPr>
          <w:rStyle w:val="Rimandonotaapidipagina"/>
        </w:rPr>
        <w:footnoteRef/>
      </w:r>
      <w:r>
        <w:t xml:space="preserve"> grosso spunto da ISLR</w:t>
      </w:r>
    </w:p>
  </w:footnote>
  <w:footnote w:id="4">
    <w:p w14:paraId="7E7687F0" w14:textId="1EEAE022" w:rsidR="00B175CD" w:rsidRDefault="00B175CD">
      <w:pPr>
        <w:pStyle w:val="Testonotaapidipagina"/>
      </w:pPr>
      <w:r>
        <w:rPr>
          <w:rStyle w:val="Rimandonotaapidipagina"/>
        </w:rPr>
        <w:footnoteRef/>
      </w:r>
      <w:r>
        <w:t xml:space="preserve"> kuhn p. 2.</w:t>
      </w:r>
    </w:p>
  </w:footnote>
  <w:footnote w:id="5">
    <w:p w14:paraId="112968B1" w14:textId="756A9BF0" w:rsidR="00B175CD" w:rsidRDefault="00B175CD">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B175CD" w:rsidRDefault="00B175CD">
      <w:pPr>
        <w:pStyle w:val="Testonotaapidipagina"/>
      </w:pPr>
      <w:r>
        <w:rPr>
          <w:rStyle w:val="Rimandonotaapidipagina"/>
        </w:rPr>
        <w:footnoteRef/>
      </w:r>
      <w:r>
        <w:t xml:space="preserve"> ISLR p. 16</w:t>
      </w:r>
    </w:p>
  </w:footnote>
  <w:footnote w:id="7">
    <w:p w14:paraId="2D95FE70" w14:textId="2A3638FD" w:rsidR="00B175CD" w:rsidRDefault="00B175CD">
      <w:pPr>
        <w:pStyle w:val="Testonotaapidipagina"/>
      </w:pPr>
      <w:r>
        <w:rPr>
          <w:rStyle w:val="Rimandonotaapidipagina"/>
        </w:rPr>
        <w:footnoteRef/>
      </w:r>
      <w:r>
        <w:t xml:space="preserve"> ISLR ‘. 18</w:t>
      </w:r>
    </w:p>
  </w:footnote>
  <w:footnote w:id="8">
    <w:p w14:paraId="4624A133" w14:textId="5445C605" w:rsidR="00B175CD" w:rsidRDefault="00B175CD">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B175CD" w:rsidRDefault="00B175CD">
      <w:pPr>
        <w:pStyle w:val="Testonotaapidipagina"/>
      </w:pPr>
      <w:r>
        <w:rPr>
          <w:rStyle w:val="Rimandonotaapidipagina"/>
        </w:rPr>
        <w:footnoteRef/>
      </w:r>
      <w:r>
        <w:t xml:space="preserve"> Kuhn p.4</w:t>
      </w:r>
    </w:p>
  </w:footnote>
  <w:footnote w:id="10">
    <w:p w14:paraId="6B5FE3A7" w14:textId="3A6E2AE1" w:rsidR="00B175CD" w:rsidRPr="00F128E6" w:rsidRDefault="00B175CD"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B175CD" w:rsidRDefault="00B175CD"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B175CD" w:rsidRDefault="00B175CD">
      <w:pPr>
        <w:pStyle w:val="Testonotaapidipagina"/>
      </w:pPr>
      <w:r>
        <w:rPr>
          <w:rStyle w:val="Rimandonotaapidipagina"/>
        </w:rPr>
        <w:footnoteRef/>
      </w:r>
      <w:r>
        <w:t xml:space="preserve"> Vedi secondo capitolo per distinzione tra le due</w:t>
      </w:r>
    </w:p>
  </w:footnote>
  <w:footnote w:id="13">
    <w:p w14:paraId="735867DD" w14:textId="514B7C4A" w:rsidR="00B175CD" w:rsidRDefault="00B175CD">
      <w:pPr>
        <w:pStyle w:val="Testonotaapidipagina"/>
      </w:pPr>
      <w:r>
        <w:rPr>
          <w:rStyle w:val="Rimandonotaapidipagina"/>
        </w:rPr>
        <w:footnoteRef/>
      </w:r>
      <w:r>
        <w:t xml:space="preserve"> Manuale capitolo 19 (internet) pagina 15</w:t>
      </w:r>
    </w:p>
  </w:footnote>
  <w:footnote w:id="14">
    <w:p w14:paraId="6105AB72" w14:textId="24CAFA33" w:rsidR="00B175CD" w:rsidRDefault="00B175CD">
      <w:pPr>
        <w:pStyle w:val="Testonotaapidipagina"/>
      </w:pPr>
      <w:r>
        <w:rPr>
          <w:rStyle w:val="Rimandonotaapidipagina"/>
        </w:rPr>
        <w:footnoteRef/>
      </w:r>
      <w:r>
        <w:t xml:space="preserve"> Vedi secondo capitolo</w:t>
      </w:r>
    </w:p>
  </w:footnote>
  <w:footnote w:id="15">
    <w:p w14:paraId="3F9095DF" w14:textId="66D4F29E" w:rsidR="00B175CD" w:rsidRPr="009756F9" w:rsidRDefault="00B175CD">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B175CD" w:rsidRDefault="00B175CD">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B175CD" w:rsidRDefault="00B175CD">
      <w:pPr>
        <w:pStyle w:val="Testonotaapidipagina"/>
      </w:pPr>
      <w:r>
        <w:rPr>
          <w:rStyle w:val="Rimandonotaapidipagina"/>
        </w:rPr>
        <w:footnoteRef/>
      </w:r>
      <w:r>
        <w:t xml:space="preserve"> ISLR 30</w:t>
      </w:r>
    </w:p>
  </w:footnote>
  <w:footnote w:id="18">
    <w:p w14:paraId="39886501" w14:textId="487AF7F0" w:rsidR="00B175CD" w:rsidRDefault="00B175CD">
      <w:pPr>
        <w:pStyle w:val="Testonotaapidipagina"/>
      </w:pPr>
      <w:r>
        <w:rPr>
          <w:rStyle w:val="Rimandonotaapidipagina"/>
        </w:rPr>
        <w:footnoteRef/>
      </w:r>
      <w:r>
        <w:t xml:space="preserve"> ISLR 47</w:t>
      </w:r>
    </w:p>
  </w:footnote>
  <w:footnote w:id="19">
    <w:p w14:paraId="11F88A5D" w14:textId="75E017D3" w:rsidR="00B175CD" w:rsidRDefault="00B175CD">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B175CD" w:rsidRDefault="00B175CD">
      <w:pPr>
        <w:pStyle w:val="Testonotaapidipagina"/>
      </w:pPr>
      <w:r>
        <w:rPr>
          <w:rStyle w:val="Rimandonotaapidipagina"/>
        </w:rPr>
        <w:footnoteRef/>
      </w:r>
      <w:r>
        <w:t xml:space="preserve"> ISLR 24</w:t>
      </w:r>
    </w:p>
  </w:footnote>
  <w:footnote w:id="21">
    <w:p w14:paraId="30DBD9BF" w14:textId="5E04E41D" w:rsidR="00B175CD" w:rsidRDefault="00B175CD">
      <w:pPr>
        <w:pStyle w:val="Testonotaapidipagina"/>
      </w:pPr>
      <w:r>
        <w:rPr>
          <w:rStyle w:val="Rimandonotaapidipagina"/>
        </w:rPr>
        <w:footnoteRef/>
      </w:r>
      <w:r>
        <w:t xml:space="preserve"> spunto da bishop 3</w:t>
      </w:r>
    </w:p>
  </w:footnote>
  <w:footnote w:id="22">
    <w:p w14:paraId="6FCBDA0E" w14:textId="68EBB9E3" w:rsidR="00B175CD" w:rsidRDefault="00B175CD">
      <w:pPr>
        <w:pStyle w:val="Testonotaapidipagina"/>
      </w:pPr>
      <w:r>
        <w:rPr>
          <w:rStyle w:val="Rimandonotaapidipagina"/>
        </w:rPr>
        <w:footnoteRef/>
      </w:r>
      <w:r>
        <w:t xml:space="preserve"> manuale 268</w:t>
      </w:r>
    </w:p>
  </w:footnote>
  <w:footnote w:id="23">
    <w:p w14:paraId="63032134" w14:textId="676C0E9A" w:rsidR="00384355" w:rsidRDefault="00384355">
      <w:pPr>
        <w:pStyle w:val="Testonotaapidipagina"/>
      </w:pPr>
      <w:r>
        <w:rPr>
          <w:rStyle w:val="Rimandonotaapidipagina"/>
        </w:rPr>
        <w:footnoteRef/>
      </w:r>
      <w:r>
        <w:t xml:space="preserve"> kuhn 97 e manuale 268</w:t>
      </w:r>
    </w:p>
  </w:footnote>
  <w:footnote w:id="24">
    <w:p w14:paraId="59FC554F" w14:textId="39F7D00E" w:rsidR="004D0601" w:rsidRDefault="004D0601">
      <w:pPr>
        <w:pStyle w:val="Testonotaapidipagina"/>
      </w:pPr>
      <w:r>
        <w:rPr>
          <w:rStyle w:val="Rimandonotaapidipagina"/>
        </w:rPr>
        <w:footnoteRef/>
      </w:r>
      <w:r>
        <w:t xml:space="preserve"> ISLR 35</w:t>
      </w:r>
    </w:p>
  </w:footnote>
  <w:footnote w:id="25">
    <w:p w14:paraId="28D44AB2" w14:textId="32530218" w:rsidR="00B175CD" w:rsidRDefault="00B175CD"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26">
    <w:p w14:paraId="1B703EFB" w14:textId="3A74B67E" w:rsidR="00B175CD" w:rsidRDefault="00B175CD"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27">
    <w:p w14:paraId="2041BE9A" w14:textId="528C59E7" w:rsidR="00B175CD" w:rsidRDefault="00B175CD" w:rsidP="00AA1D03">
      <w:pPr>
        <w:pStyle w:val="Paragrafoelenco"/>
      </w:pPr>
      <w:r>
        <w:rPr>
          <w:rStyle w:val="Rimandonotaapidipagina"/>
        </w:rPr>
        <w:footnoteRef/>
      </w:r>
      <w:r>
        <w:t xml:space="preserve"> </w:t>
      </w:r>
      <w:r w:rsidRPr="004A12C2">
        <w:rPr>
          <w:i/>
        </w:rPr>
        <w:t>Ivi</w:t>
      </w:r>
      <w:r>
        <w:t>, p.5.</w:t>
      </w:r>
    </w:p>
  </w:footnote>
  <w:footnote w:id="28">
    <w:p w14:paraId="6CCCD1DF" w14:textId="5EAAE11C" w:rsidR="00B175CD" w:rsidRDefault="00B175CD" w:rsidP="00AA1D03">
      <w:pPr>
        <w:pStyle w:val="Paragrafoelenco"/>
      </w:pPr>
      <w:r>
        <w:rPr>
          <w:rStyle w:val="Rimandonotaapidipagina"/>
        </w:rPr>
        <w:footnoteRef/>
      </w:r>
      <w:r>
        <w:t xml:space="preserve"> </w:t>
      </w:r>
      <w:r w:rsidRPr="004A12C2">
        <w:rPr>
          <w:i/>
        </w:rPr>
        <w:t>Ivi</w:t>
      </w:r>
      <w:r>
        <w:t>, p.3</w:t>
      </w:r>
    </w:p>
  </w:footnote>
  <w:footnote w:id="29">
    <w:p w14:paraId="63F736C6" w14:textId="2FAFFDDB" w:rsidR="00B175CD" w:rsidRDefault="00B175CD"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30">
    <w:p w14:paraId="460E6325" w14:textId="351CB0BE" w:rsidR="00B175CD" w:rsidRDefault="00B175CD"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31">
    <w:p w14:paraId="239DFB58" w14:textId="7EDA7428" w:rsidR="00B175CD" w:rsidRDefault="00B175CD"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32">
    <w:p w14:paraId="470F6686" w14:textId="2765FB4B" w:rsidR="00B175CD" w:rsidRDefault="00B175CD" w:rsidP="00AA1D03">
      <w:pPr>
        <w:pStyle w:val="Paragrafoelenco"/>
      </w:pPr>
      <w:r>
        <w:rPr>
          <w:rStyle w:val="Rimandonotaapidipagina"/>
        </w:rPr>
        <w:footnoteRef/>
      </w:r>
      <w:r>
        <w:t xml:space="preserve"> KLEINBAUM D – KLEIN MITCHEL, </w:t>
      </w:r>
      <w:r w:rsidRPr="00185BF2">
        <w:rPr>
          <w:i/>
        </w:rPr>
        <w:t>Op. cit</w:t>
      </w:r>
      <w:r>
        <w:t>, p. 18.</w:t>
      </w:r>
    </w:p>
  </w:footnote>
  <w:footnote w:id="33">
    <w:p w14:paraId="0424398A" w14:textId="51EF5CC9" w:rsidR="00B175CD" w:rsidRDefault="00B175CD"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34">
    <w:p w14:paraId="267CA388" w14:textId="6EFF893A" w:rsidR="00B175CD" w:rsidRPr="005734ED" w:rsidRDefault="00B175CD"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35">
    <w:p w14:paraId="7BF73419" w14:textId="05D116A9" w:rsidR="00B175CD" w:rsidRDefault="00B175CD"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36">
    <w:p w14:paraId="14D3C558" w14:textId="373C20B2" w:rsidR="00B175CD" w:rsidRPr="00DE4F9F" w:rsidRDefault="00B175CD"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B175CD" w:rsidRDefault="00B175CD">
      <w:pPr>
        <w:pStyle w:val="Testonotaapidipagina"/>
      </w:pPr>
    </w:p>
  </w:footnote>
  <w:footnote w:id="37">
    <w:p w14:paraId="7186041E" w14:textId="11B98C20" w:rsidR="00B175CD" w:rsidRDefault="00B175CD"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38">
    <w:p w14:paraId="4811A4E2" w14:textId="4D9AB7AE" w:rsidR="00B175CD" w:rsidRDefault="00B175CD" w:rsidP="00776AD8">
      <w:pPr>
        <w:pStyle w:val="Paragrafoelenco"/>
      </w:pPr>
      <w:r>
        <w:rPr>
          <w:rStyle w:val="Rimandonotaapidipagina"/>
        </w:rPr>
        <w:footnoteRef/>
      </w:r>
      <w:r>
        <w:t xml:space="preserve"> CAFFO B., </w:t>
      </w:r>
      <w:r>
        <w:rPr>
          <w:i/>
        </w:rPr>
        <w:t>Statistical inference for data science</w:t>
      </w:r>
      <w:r>
        <w:t>, Baltimore, 2015, p. 79 ss.</w:t>
      </w:r>
    </w:p>
  </w:footnote>
  <w:footnote w:id="39">
    <w:p w14:paraId="592F2B7C" w14:textId="65B12DE1" w:rsidR="00B175CD" w:rsidRDefault="00B175CD" w:rsidP="00776AD8">
      <w:pPr>
        <w:pStyle w:val="Paragrafoelenco"/>
      </w:pPr>
      <w:r>
        <w:rPr>
          <w:rStyle w:val="Rimandonotaapidipagina"/>
        </w:rPr>
        <w:footnoteRef/>
      </w:r>
      <w:r>
        <w:t xml:space="preserve"> Cfr KLEINBAUM D – KLEIN MITCHEL, </w:t>
      </w:r>
      <w:r w:rsidRPr="00185BF2">
        <w:rPr>
          <w:i/>
        </w:rPr>
        <w:t>Op. cit</w:t>
      </w:r>
      <w:r>
        <w:t>, p. 135.</w:t>
      </w:r>
    </w:p>
  </w:footnote>
  <w:footnote w:id="40">
    <w:p w14:paraId="70E8FB57" w14:textId="3DF9B188" w:rsidR="00B175CD" w:rsidRPr="005734ED" w:rsidRDefault="00B175CD"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B175CD" w:rsidRDefault="00B175CD">
      <w:pPr>
        <w:pStyle w:val="Testonotaapidipagina"/>
      </w:pPr>
    </w:p>
  </w:footnote>
  <w:footnote w:id="41">
    <w:p w14:paraId="479443A7" w14:textId="78FD1504" w:rsidR="00B175CD" w:rsidRDefault="00B175CD"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42">
    <w:p w14:paraId="25A054AC" w14:textId="3C1BABA0" w:rsidR="00B175CD" w:rsidRDefault="00B175CD" w:rsidP="00776AD8">
      <w:pPr>
        <w:pStyle w:val="Paragrafoelenco"/>
      </w:pPr>
      <w:r>
        <w:rPr>
          <w:rStyle w:val="Rimandonotaapidipagina"/>
        </w:rPr>
        <w:footnoteRef/>
      </w:r>
      <w:r>
        <w:t xml:space="preserve"> KLEINBAUM D – KLEIN MITCHEL, </w:t>
      </w:r>
      <w:r w:rsidRPr="00185BF2">
        <w:rPr>
          <w:i/>
        </w:rPr>
        <w:t>Op. cit</w:t>
      </w:r>
      <w:r>
        <w:t>, p. 139.</w:t>
      </w:r>
    </w:p>
  </w:footnote>
  <w:footnote w:id="43">
    <w:p w14:paraId="6C62D347" w14:textId="2E797B69" w:rsidR="00B175CD" w:rsidRDefault="00B175CD"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44">
    <w:p w14:paraId="6B9DCD7C" w14:textId="25EC0FAE" w:rsidR="00B175CD" w:rsidRPr="00323D8B" w:rsidRDefault="00B175CD" w:rsidP="00776AD8">
      <w:pPr>
        <w:pStyle w:val="Paragrafoelenco"/>
      </w:pPr>
      <w:r>
        <w:rPr>
          <w:rStyle w:val="Rimandonotaapidipagina"/>
        </w:rPr>
        <w:footnoteRef/>
      </w:r>
      <w:r>
        <w:t xml:space="preserve"> KLEINBAUM D – KLEIN MITCHEL, </w:t>
      </w:r>
      <w:r w:rsidRPr="00185BF2">
        <w:t>Op. cit</w:t>
      </w:r>
      <w:r>
        <w:t>, p. 280.</w:t>
      </w:r>
    </w:p>
  </w:footnote>
  <w:footnote w:id="45">
    <w:p w14:paraId="56740E53" w14:textId="7D24EBE4" w:rsidR="00B175CD" w:rsidRDefault="00B175CD" w:rsidP="00776AD8">
      <w:pPr>
        <w:pStyle w:val="Paragrafoelenco"/>
      </w:pPr>
      <w:r>
        <w:rPr>
          <w:rStyle w:val="Rimandonotaapidipagina"/>
        </w:rPr>
        <w:footnoteRef/>
      </w:r>
      <w:r>
        <w:t xml:space="preserve"> </w:t>
      </w:r>
      <w:r w:rsidRPr="00323D8B">
        <w:t>Ibidem</w:t>
      </w:r>
      <w:r>
        <w:t>.</w:t>
      </w:r>
    </w:p>
  </w:footnote>
  <w:footnote w:id="46">
    <w:p w14:paraId="2054DE91" w14:textId="1E8B3742" w:rsidR="00B175CD" w:rsidRDefault="00B175CD"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47">
    <w:p w14:paraId="3F19350A" w14:textId="5005D655" w:rsidR="00B175CD" w:rsidRDefault="00B175CD"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48">
    <w:p w14:paraId="3C429483" w14:textId="775AC0C5" w:rsidR="00B175CD" w:rsidRPr="000D123A" w:rsidRDefault="00B175CD"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49">
    <w:p w14:paraId="498121B9" w14:textId="3C8708E7" w:rsidR="00B175CD" w:rsidRDefault="00B175CD" w:rsidP="00776AD8">
      <w:pPr>
        <w:pStyle w:val="Paragrafoelenco"/>
      </w:pPr>
      <w:r>
        <w:rPr>
          <w:rStyle w:val="Rimandonotaapidipagina"/>
        </w:rPr>
        <w:footnoteRef/>
      </w:r>
      <w:r>
        <w:t xml:space="preserve"> </w:t>
      </w:r>
      <w:r w:rsidRPr="000D123A">
        <w:rPr>
          <w:color w:val="FF0000"/>
        </w:rPr>
        <w:t xml:space="preserve">Vedi paragrafo </w:t>
      </w:r>
      <w:r>
        <w:t>.</w:t>
      </w:r>
    </w:p>
  </w:footnote>
  <w:footnote w:id="50">
    <w:p w14:paraId="30761DDE" w14:textId="36B200BE" w:rsidR="00B175CD" w:rsidRDefault="00B175CD"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51">
    <w:p w14:paraId="1AE4026A" w14:textId="5E7CB2F6" w:rsidR="00B175CD" w:rsidRDefault="00B175CD"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52">
    <w:p w14:paraId="3D1CD39F" w14:textId="52952E40" w:rsidR="00B175CD" w:rsidRPr="007C20E8" w:rsidRDefault="00B175CD"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53">
    <w:p w14:paraId="1831EB19" w14:textId="18B47D23" w:rsidR="00B175CD" w:rsidRDefault="00B175CD" w:rsidP="00DD293D">
      <w:pPr>
        <w:pStyle w:val="Paragrafoelenco"/>
      </w:pPr>
      <w:r>
        <w:rPr>
          <w:rStyle w:val="Rimandonotaapidipagina"/>
        </w:rPr>
        <w:footnoteRef/>
      </w:r>
      <w:r>
        <w:t xml:space="preserve"> Cfr. KLEINBAUM D – KLEIN MITCHEL, </w:t>
      </w:r>
      <w:r w:rsidRPr="00185BF2">
        <w:rPr>
          <w:i/>
        </w:rPr>
        <w:t>Op. cit</w:t>
      </w:r>
      <w:r>
        <w:t>, p. 305 ss.</w:t>
      </w:r>
    </w:p>
  </w:footnote>
  <w:footnote w:id="54">
    <w:p w14:paraId="034E10AE" w14:textId="616A06B8" w:rsidR="00B175CD" w:rsidRDefault="00B175CD" w:rsidP="00DD293D">
      <w:pPr>
        <w:pStyle w:val="Paragrafoelenco"/>
      </w:pPr>
      <w:r>
        <w:rPr>
          <w:rStyle w:val="Rimandonotaapidipagina"/>
        </w:rPr>
        <w:footnoteRef/>
      </w:r>
      <w:r>
        <w:t xml:space="preserve"> HOSMER D. – LEMESHOW S., </w:t>
      </w:r>
      <w:r>
        <w:rPr>
          <w:i/>
        </w:rPr>
        <w:t>Op. cit.</w:t>
      </w:r>
      <w:r>
        <w:t>, par. 5.2.1.</w:t>
      </w:r>
    </w:p>
  </w:footnote>
  <w:footnote w:id="55">
    <w:p w14:paraId="30A46383" w14:textId="469BF799" w:rsidR="00B175CD" w:rsidRDefault="00B175CD"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56">
    <w:p w14:paraId="0791AA3B" w14:textId="1BD84C00" w:rsidR="00B175CD" w:rsidRDefault="00B175CD"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57">
    <w:p w14:paraId="507D01DE" w14:textId="2F7F6D97" w:rsidR="00B175CD" w:rsidRDefault="00B175CD"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58">
    <w:p w14:paraId="1F83E4A1" w14:textId="36CE8C9F" w:rsidR="00B175CD" w:rsidRDefault="00B175CD"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59">
    <w:p w14:paraId="3CC384D0" w14:textId="2A923169" w:rsidR="00B175CD" w:rsidRDefault="00B175CD"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60">
    <w:p w14:paraId="2B90C02A" w14:textId="516169A5" w:rsidR="00B175CD" w:rsidRPr="00A75BCB" w:rsidRDefault="00B175CD"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61">
    <w:p w14:paraId="320E9C97" w14:textId="0F7590E4" w:rsidR="00B175CD" w:rsidRDefault="00B175CD"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62">
    <w:p w14:paraId="060A416A" w14:textId="166522E2" w:rsidR="00B175CD" w:rsidRDefault="00B175CD" w:rsidP="00731B85">
      <w:pPr>
        <w:pStyle w:val="Paragrafoelenco"/>
      </w:pPr>
      <w:r>
        <w:rPr>
          <w:rStyle w:val="Rimandonotaapidipagina"/>
        </w:rPr>
        <w:footnoteRef/>
      </w:r>
      <w:r>
        <w:t xml:space="preserve"> KLEINBAUM D – KLEIN MITCHEL, </w:t>
      </w:r>
      <w:r w:rsidRPr="00185BF2">
        <w:rPr>
          <w:i/>
        </w:rPr>
        <w:t>Op. cit</w:t>
      </w:r>
      <w:r>
        <w:t>, p 244 ss.</w:t>
      </w:r>
    </w:p>
  </w:footnote>
  <w:footnote w:id="63">
    <w:p w14:paraId="01FBE11B" w14:textId="2206490C" w:rsidR="00B175CD" w:rsidRDefault="00B175CD"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64">
    <w:p w14:paraId="6EF5E815" w14:textId="54DA5219" w:rsidR="00B175CD" w:rsidRDefault="00B175CD"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65">
    <w:p w14:paraId="05BA40A0" w14:textId="0D1BDA40" w:rsidR="00B175CD" w:rsidRPr="00951910" w:rsidRDefault="00B175CD" w:rsidP="00161324">
      <w:pPr>
        <w:pStyle w:val="Paragrafoelenco"/>
      </w:pPr>
      <w:r>
        <w:rPr>
          <w:rStyle w:val="Rimandonotaapidipagina"/>
        </w:rPr>
        <w:footnoteRef/>
      </w:r>
      <w:r>
        <w:t xml:space="preserve">Cfr. CURINI L., </w:t>
      </w:r>
      <w:r w:rsidRPr="00951910">
        <w:rPr>
          <w:i/>
        </w:rPr>
        <w:t>Op. cit.</w:t>
      </w:r>
      <w:r>
        <w:t>, p. 4.</w:t>
      </w:r>
    </w:p>
  </w:footnote>
  <w:footnote w:id="66">
    <w:p w14:paraId="22521330" w14:textId="4B6825BA" w:rsidR="00B175CD" w:rsidRDefault="00B175CD"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67">
    <w:p w14:paraId="508A46E9" w14:textId="09BE61A4" w:rsidR="00B175CD" w:rsidRDefault="00B175CD"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68">
    <w:p w14:paraId="031E4430" w14:textId="070DD7FB" w:rsidR="00B175CD" w:rsidRPr="00CF7CE4" w:rsidRDefault="00B175CD"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69">
    <w:p w14:paraId="35C1A050" w14:textId="11DBA559" w:rsidR="00B175CD" w:rsidRPr="00362464" w:rsidRDefault="00B175CD" w:rsidP="00CE4F3A">
      <w:pPr>
        <w:pStyle w:val="Paragrafoelenco"/>
      </w:pPr>
      <w:r>
        <w:rPr>
          <w:rStyle w:val="Rimandonotaapidipagina"/>
        </w:rPr>
        <w:footnoteRef/>
      </w:r>
      <w:r>
        <w:t xml:space="preserve"> CAFFO B., </w:t>
      </w:r>
      <w:r w:rsidRPr="0031433B">
        <w:t>Regression models for data science in R</w:t>
      </w:r>
      <w:r>
        <w:t>, cit., pp. 96-97.</w:t>
      </w:r>
    </w:p>
  </w:footnote>
  <w:footnote w:id="70">
    <w:p w14:paraId="7F174503" w14:textId="35D17866" w:rsidR="00B175CD" w:rsidRDefault="00B175CD" w:rsidP="00CE4F3A">
      <w:pPr>
        <w:pStyle w:val="Paragrafoelenco"/>
      </w:pPr>
      <w:r>
        <w:rPr>
          <w:rStyle w:val="Rimandonotaapidipagina"/>
        </w:rPr>
        <w:footnoteRef/>
      </w:r>
      <w:r>
        <w:t xml:space="preserve"> KLEINBAUM D – KLEIN MITCHEL, </w:t>
      </w:r>
      <w:r w:rsidRPr="00C7386D">
        <w:t>Op. cit.</w:t>
      </w:r>
      <w:r>
        <w:t>, p. 271.</w:t>
      </w:r>
    </w:p>
  </w:footnote>
  <w:footnote w:id="71">
    <w:p w14:paraId="64E4B11D" w14:textId="27050A80" w:rsidR="00B175CD" w:rsidRDefault="00B175CD" w:rsidP="00CE4F3A">
      <w:pPr>
        <w:pStyle w:val="Paragrafoelenco"/>
      </w:pPr>
      <w:r>
        <w:rPr>
          <w:rStyle w:val="Rimandonotaapidipagina"/>
        </w:rPr>
        <w:footnoteRef/>
      </w:r>
      <w:r>
        <w:t xml:space="preserve"> PARDOE I., COOK D., </w:t>
      </w:r>
      <w:r w:rsidRPr="00362464">
        <w:t>Op. cit.</w:t>
      </w:r>
      <w:r>
        <w:t>, p1.</w:t>
      </w:r>
    </w:p>
  </w:footnote>
  <w:footnote w:id="72">
    <w:p w14:paraId="4CE6A653" w14:textId="4B0BD239" w:rsidR="00B175CD" w:rsidRDefault="00B175CD" w:rsidP="003E3F07">
      <w:pPr>
        <w:pStyle w:val="Paragrafoelenco"/>
      </w:pPr>
      <w:r>
        <w:rPr>
          <w:rStyle w:val="Rimandonotaapidipagina"/>
        </w:rPr>
        <w:footnoteRef/>
      </w:r>
      <w:r>
        <w:t xml:space="preserve"> KLEINBAUM D – KLEIN MITCHEL, </w:t>
      </w:r>
      <w:r w:rsidRPr="00C7386D">
        <w:rPr>
          <w:i/>
        </w:rPr>
        <w:t>Op. cit.</w:t>
      </w:r>
      <w:r>
        <w:t>, p. 271.</w:t>
      </w:r>
    </w:p>
  </w:footnote>
  <w:footnote w:id="73">
    <w:p w14:paraId="2FEAAD67" w14:textId="4A79750E" w:rsidR="00B175CD" w:rsidRDefault="00B175CD" w:rsidP="003E3F07">
      <w:pPr>
        <w:pStyle w:val="Paragrafoelenco"/>
      </w:pPr>
      <w:r>
        <w:rPr>
          <w:rStyle w:val="Rimandonotaapidipagina"/>
        </w:rPr>
        <w:footnoteRef/>
      </w:r>
      <w:r>
        <w:t xml:space="preserve"> </w:t>
      </w:r>
      <w:r w:rsidRPr="00362464">
        <w:rPr>
          <w:i/>
        </w:rPr>
        <w:t>Ivi</w:t>
      </w:r>
      <w:r>
        <w:t>, p. 273.</w:t>
      </w:r>
    </w:p>
  </w:footnote>
  <w:footnote w:id="74">
    <w:p w14:paraId="325FC820" w14:textId="24798C40" w:rsidR="00B175CD" w:rsidRDefault="00B175CD" w:rsidP="003E3F07">
      <w:pPr>
        <w:pStyle w:val="Paragrafoelenco"/>
      </w:pPr>
      <w:r>
        <w:rPr>
          <w:rStyle w:val="Rimandonotaapidipagina"/>
        </w:rPr>
        <w:footnoteRef/>
      </w:r>
      <w:r>
        <w:t xml:space="preserve"> CURINI L., </w:t>
      </w:r>
      <w:r w:rsidRPr="00951910">
        <w:rPr>
          <w:i/>
        </w:rPr>
        <w:t>Op. cit.</w:t>
      </w:r>
      <w:r>
        <w:t>, p. 5.</w:t>
      </w:r>
    </w:p>
  </w:footnote>
  <w:footnote w:id="75">
    <w:p w14:paraId="4D085306" w14:textId="68592EEA" w:rsidR="00B175CD" w:rsidRDefault="00B175CD" w:rsidP="003E3F07">
      <w:pPr>
        <w:pStyle w:val="Paragrafoelenco"/>
      </w:pPr>
      <w:r>
        <w:rPr>
          <w:rStyle w:val="Rimandonotaapidipagina"/>
        </w:rPr>
        <w:footnoteRef/>
      </w:r>
      <w:r>
        <w:t xml:space="preserve"> Il dataset utilizzato nel capitolo 3 contiene molte variabili quantitative.</w:t>
      </w:r>
    </w:p>
  </w:footnote>
  <w:footnote w:id="76">
    <w:p w14:paraId="357B882A" w14:textId="4B3CE965" w:rsidR="00B175CD" w:rsidRDefault="00B175CD" w:rsidP="003E3F07">
      <w:pPr>
        <w:pStyle w:val="Paragrafoelenco"/>
      </w:pPr>
      <w:r>
        <w:rPr>
          <w:rStyle w:val="Rimandonotaapidipagina"/>
        </w:rPr>
        <w:footnoteRef/>
      </w:r>
      <w:r>
        <w:t xml:space="preserve"> KLEINBAUM D – KLEIN MITCHEL, </w:t>
      </w:r>
      <w:r w:rsidRPr="00C7386D">
        <w:rPr>
          <w:i/>
        </w:rPr>
        <w:t>Op. cit.</w:t>
      </w:r>
      <w:r>
        <w:t>, p. 275.</w:t>
      </w:r>
    </w:p>
  </w:footnote>
  <w:footnote w:id="77">
    <w:p w14:paraId="1E718B23" w14:textId="2915EAC2" w:rsidR="00B175CD" w:rsidRDefault="00B175CD"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78">
    <w:p w14:paraId="7EFF3206" w14:textId="0E32BD98" w:rsidR="00B175CD" w:rsidRDefault="00B175CD"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2935"/>
    <w:rsid w:val="00013126"/>
    <w:rsid w:val="00020E4D"/>
    <w:rsid w:val="00022655"/>
    <w:rsid w:val="000301E6"/>
    <w:rsid w:val="000325F7"/>
    <w:rsid w:val="0003389B"/>
    <w:rsid w:val="00035F1A"/>
    <w:rsid w:val="00037902"/>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A103A"/>
    <w:rsid w:val="000A6855"/>
    <w:rsid w:val="000B35AF"/>
    <w:rsid w:val="000C0752"/>
    <w:rsid w:val="000C3A7F"/>
    <w:rsid w:val="000D123A"/>
    <w:rsid w:val="000D1A2E"/>
    <w:rsid w:val="000D5F27"/>
    <w:rsid w:val="000E0214"/>
    <w:rsid w:val="000E69FF"/>
    <w:rsid w:val="000F2F77"/>
    <w:rsid w:val="000F3316"/>
    <w:rsid w:val="000F62D6"/>
    <w:rsid w:val="00105287"/>
    <w:rsid w:val="00112E48"/>
    <w:rsid w:val="0011577B"/>
    <w:rsid w:val="001179D0"/>
    <w:rsid w:val="00117CE3"/>
    <w:rsid w:val="00117E41"/>
    <w:rsid w:val="00123923"/>
    <w:rsid w:val="0013016A"/>
    <w:rsid w:val="0013503A"/>
    <w:rsid w:val="001407EF"/>
    <w:rsid w:val="00140866"/>
    <w:rsid w:val="00144F1E"/>
    <w:rsid w:val="001460E1"/>
    <w:rsid w:val="001525EB"/>
    <w:rsid w:val="0015287D"/>
    <w:rsid w:val="00161324"/>
    <w:rsid w:val="00162486"/>
    <w:rsid w:val="0016600B"/>
    <w:rsid w:val="00176688"/>
    <w:rsid w:val="00176E31"/>
    <w:rsid w:val="001852BA"/>
    <w:rsid w:val="00185BF2"/>
    <w:rsid w:val="001872F6"/>
    <w:rsid w:val="001A7821"/>
    <w:rsid w:val="001C035E"/>
    <w:rsid w:val="001C6038"/>
    <w:rsid w:val="001D322F"/>
    <w:rsid w:val="001E18EE"/>
    <w:rsid w:val="001E2C42"/>
    <w:rsid w:val="001E36E0"/>
    <w:rsid w:val="001F13D8"/>
    <w:rsid w:val="00200334"/>
    <w:rsid w:val="002126F2"/>
    <w:rsid w:val="00213B15"/>
    <w:rsid w:val="00215F8A"/>
    <w:rsid w:val="00225DB4"/>
    <w:rsid w:val="00226066"/>
    <w:rsid w:val="00244DB2"/>
    <w:rsid w:val="00256AA5"/>
    <w:rsid w:val="002577BB"/>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11E40"/>
    <w:rsid w:val="003158AE"/>
    <w:rsid w:val="00316120"/>
    <w:rsid w:val="00323D8B"/>
    <w:rsid w:val="00326606"/>
    <w:rsid w:val="00327D4E"/>
    <w:rsid w:val="00327FE3"/>
    <w:rsid w:val="003359B9"/>
    <w:rsid w:val="00337768"/>
    <w:rsid w:val="003436F7"/>
    <w:rsid w:val="00344E78"/>
    <w:rsid w:val="00345BCC"/>
    <w:rsid w:val="00352714"/>
    <w:rsid w:val="0035529A"/>
    <w:rsid w:val="00362464"/>
    <w:rsid w:val="00363640"/>
    <w:rsid w:val="00363CC6"/>
    <w:rsid w:val="00377DB6"/>
    <w:rsid w:val="00384355"/>
    <w:rsid w:val="00391ECD"/>
    <w:rsid w:val="00396EC4"/>
    <w:rsid w:val="003B08CA"/>
    <w:rsid w:val="003C202C"/>
    <w:rsid w:val="003C32D9"/>
    <w:rsid w:val="003D6A79"/>
    <w:rsid w:val="003D6BA0"/>
    <w:rsid w:val="003D74A0"/>
    <w:rsid w:val="003E3F07"/>
    <w:rsid w:val="003E4011"/>
    <w:rsid w:val="003F0096"/>
    <w:rsid w:val="003F1E56"/>
    <w:rsid w:val="003F3841"/>
    <w:rsid w:val="0040409C"/>
    <w:rsid w:val="0040447E"/>
    <w:rsid w:val="00405E2F"/>
    <w:rsid w:val="00407514"/>
    <w:rsid w:val="004108B8"/>
    <w:rsid w:val="00411A5F"/>
    <w:rsid w:val="00414C86"/>
    <w:rsid w:val="00416873"/>
    <w:rsid w:val="00424F16"/>
    <w:rsid w:val="00425719"/>
    <w:rsid w:val="00452108"/>
    <w:rsid w:val="00452F78"/>
    <w:rsid w:val="0045559F"/>
    <w:rsid w:val="0045619F"/>
    <w:rsid w:val="004577FC"/>
    <w:rsid w:val="00460E65"/>
    <w:rsid w:val="0047014E"/>
    <w:rsid w:val="0047183F"/>
    <w:rsid w:val="00471D8F"/>
    <w:rsid w:val="00472146"/>
    <w:rsid w:val="0047729E"/>
    <w:rsid w:val="00482DCE"/>
    <w:rsid w:val="00486B04"/>
    <w:rsid w:val="0048774A"/>
    <w:rsid w:val="00491D9F"/>
    <w:rsid w:val="00493082"/>
    <w:rsid w:val="0049709A"/>
    <w:rsid w:val="004A12C2"/>
    <w:rsid w:val="004A2177"/>
    <w:rsid w:val="004A5E7B"/>
    <w:rsid w:val="004B2260"/>
    <w:rsid w:val="004B3025"/>
    <w:rsid w:val="004C039F"/>
    <w:rsid w:val="004C3BD5"/>
    <w:rsid w:val="004C49B8"/>
    <w:rsid w:val="004D0601"/>
    <w:rsid w:val="004D1EB6"/>
    <w:rsid w:val="004E6BF1"/>
    <w:rsid w:val="004E72C8"/>
    <w:rsid w:val="004E7D97"/>
    <w:rsid w:val="004F2815"/>
    <w:rsid w:val="004F47E5"/>
    <w:rsid w:val="004F5E26"/>
    <w:rsid w:val="005172C5"/>
    <w:rsid w:val="005177D7"/>
    <w:rsid w:val="00536B13"/>
    <w:rsid w:val="0055443E"/>
    <w:rsid w:val="00554A20"/>
    <w:rsid w:val="00556FA6"/>
    <w:rsid w:val="00557E34"/>
    <w:rsid w:val="00560AB7"/>
    <w:rsid w:val="00562A5A"/>
    <w:rsid w:val="00571328"/>
    <w:rsid w:val="00572BCD"/>
    <w:rsid w:val="00572E54"/>
    <w:rsid w:val="005732DC"/>
    <w:rsid w:val="005734ED"/>
    <w:rsid w:val="005B4180"/>
    <w:rsid w:val="005C0B21"/>
    <w:rsid w:val="005C44BF"/>
    <w:rsid w:val="005D068F"/>
    <w:rsid w:val="005D45C1"/>
    <w:rsid w:val="005E1CCC"/>
    <w:rsid w:val="005E2FAA"/>
    <w:rsid w:val="005F27F6"/>
    <w:rsid w:val="005F3B42"/>
    <w:rsid w:val="005F3FA8"/>
    <w:rsid w:val="00611222"/>
    <w:rsid w:val="00613372"/>
    <w:rsid w:val="006175DB"/>
    <w:rsid w:val="00630C6E"/>
    <w:rsid w:val="006320E4"/>
    <w:rsid w:val="006376B0"/>
    <w:rsid w:val="00645ABD"/>
    <w:rsid w:val="006618A1"/>
    <w:rsid w:val="0066659B"/>
    <w:rsid w:val="00667AF7"/>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7389"/>
    <w:rsid w:val="00730ADA"/>
    <w:rsid w:val="00731B85"/>
    <w:rsid w:val="007343CE"/>
    <w:rsid w:val="00740B61"/>
    <w:rsid w:val="007435A9"/>
    <w:rsid w:val="007512D1"/>
    <w:rsid w:val="007600F8"/>
    <w:rsid w:val="007632ED"/>
    <w:rsid w:val="00765F45"/>
    <w:rsid w:val="00766730"/>
    <w:rsid w:val="00776AD8"/>
    <w:rsid w:val="00780836"/>
    <w:rsid w:val="00781210"/>
    <w:rsid w:val="00782781"/>
    <w:rsid w:val="00796693"/>
    <w:rsid w:val="007A2B83"/>
    <w:rsid w:val="007A5190"/>
    <w:rsid w:val="007B0AA1"/>
    <w:rsid w:val="007B3A3C"/>
    <w:rsid w:val="007B4A38"/>
    <w:rsid w:val="007C20E8"/>
    <w:rsid w:val="007C4BC2"/>
    <w:rsid w:val="007C63F3"/>
    <w:rsid w:val="007C7E62"/>
    <w:rsid w:val="007F1230"/>
    <w:rsid w:val="007F2885"/>
    <w:rsid w:val="007F4185"/>
    <w:rsid w:val="00800291"/>
    <w:rsid w:val="00810508"/>
    <w:rsid w:val="0081651B"/>
    <w:rsid w:val="00823A1E"/>
    <w:rsid w:val="008241D5"/>
    <w:rsid w:val="008254E8"/>
    <w:rsid w:val="00825DD9"/>
    <w:rsid w:val="00833FD6"/>
    <w:rsid w:val="00837825"/>
    <w:rsid w:val="00840D5D"/>
    <w:rsid w:val="0085299E"/>
    <w:rsid w:val="00867657"/>
    <w:rsid w:val="00876BAE"/>
    <w:rsid w:val="00876EDC"/>
    <w:rsid w:val="00877795"/>
    <w:rsid w:val="0088731B"/>
    <w:rsid w:val="0089018A"/>
    <w:rsid w:val="00893A06"/>
    <w:rsid w:val="008B0EDD"/>
    <w:rsid w:val="008C273B"/>
    <w:rsid w:val="008C5EAF"/>
    <w:rsid w:val="008C754E"/>
    <w:rsid w:val="008D0342"/>
    <w:rsid w:val="008D121D"/>
    <w:rsid w:val="008D686A"/>
    <w:rsid w:val="008E441D"/>
    <w:rsid w:val="008E48F2"/>
    <w:rsid w:val="008E6ADA"/>
    <w:rsid w:val="008F5D55"/>
    <w:rsid w:val="008F69D4"/>
    <w:rsid w:val="00903F4E"/>
    <w:rsid w:val="00904328"/>
    <w:rsid w:val="009108C1"/>
    <w:rsid w:val="00910956"/>
    <w:rsid w:val="009110F0"/>
    <w:rsid w:val="00912B89"/>
    <w:rsid w:val="0091636F"/>
    <w:rsid w:val="00921244"/>
    <w:rsid w:val="009215BA"/>
    <w:rsid w:val="0092412A"/>
    <w:rsid w:val="009342ED"/>
    <w:rsid w:val="00934FA4"/>
    <w:rsid w:val="00942785"/>
    <w:rsid w:val="00951910"/>
    <w:rsid w:val="00952F71"/>
    <w:rsid w:val="00966AD7"/>
    <w:rsid w:val="0097350A"/>
    <w:rsid w:val="009756F9"/>
    <w:rsid w:val="00977EB7"/>
    <w:rsid w:val="00991460"/>
    <w:rsid w:val="0099414A"/>
    <w:rsid w:val="009A3812"/>
    <w:rsid w:val="009C2125"/>
    <w:rsid w:val="009C3618"/>
    <w:rsid w:val="009D5465"/>
    <w:rsid w:val="009E0479"/>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B0D"/>
    <w:rsid w:val="00A57E6D"/>
    <w:rsid w:val="00A615DA"/>
    <w:rsid w:val="00A64321"/>
    <w:rsid w:val="00A64AB1"/>
    <w:rsid w:val="00A71429"/>
    <w:rsid w:val="00A72BE8"/>
    <w:rsid w:val="00A756E3"/>
    <w:rsid w:val="00A75BCB"/>
    <w:rsid w:val="00A774B3"/>
    <w:rsid w:val="00A85033"/>
    <w:rsid w:val="00A85533"/>
    <w:rsid w:val="00A900D5"/>
    <w:rsid w:val="00A92DF7"/>
    <w:rsid w:val="00AA1D03"/>
    <w:rsid w:val="00AB322A"/>
    <w:rsid w:val="00AB5D58"/>
    <w:rsid w:val="00AC0A7D"/>
    <w:rsid w:val="00AC1334"/>
    <w:rsid w:val="00AD626C"/>
    <w:rsid w:val="00AF2C34"/>
    <w:rsid w:val="00B00B49"/>
    <w:rsid w:val="00B00C40"/>
    <w:rsid w:val="00B028D9"/>
    <w:rsid w:val="00B0385A"/>
    <w:rsid w:val="00B1321B"/>
    <w:rsid w:val="00B14017"/>
    <w:rsid w:val="00B14F32"/>
    <w:rsid w:val="00B175CD"/>
    <w:rsid w:val="00B24955"/>
    <w:rsid w:val="00B25B85"/>
    <w:rsid w:val="00B27EDA"/>
    <w:rsid w:val="00B46F54"/>
    <w:rsid w:val="00B55397"/>
    <w:rsid w:val="00B6006E"/>
    <w:rsid w:val="00B61F55"/>
    <w:rsid w:val="00B7033E"/>
    <w:rsid w:val="00B7435C"/>
    <w:rsid w:val="00B74460"/>
    <w:rsid w:val="00B7719B"/>
    <w:rsid w:val="00B82321"/>
    <w:rsid w:val="00B83858"/>
    <w:rsid w:val="00B86595"/>
    <w:rsid w:val="00B93625"/>
    <w:rsid w:val="00B93CA5"/>
    <w:rsid w:val="00B95808"/>
    <w:rsid w:val="00BA1495"/>
    <w:rsid w:val="00BB72E6"/>
    <w:rsid w:val="00BC1B50"/>
    <w:rsid w:val="00BC3B0E"/>
    <w:rsid w:val="00BD1AA7"/>
    <w:rsid w:val="00BD5723"/>
    <w:rsid w:val="00BD7BB8"/>
    <w:rsid w:val="00BF0A2E"/>
    <w:rsid w:val="00C00753"/>
    <w:rsid w:val="00C11844"/>
    <w:rsid w:val="00C23740"/>
    <w:rsid w:val="00C2378E"/>
    <w:rsid w:val="00C369B6"/>
    <w:rsid w:val="00C408EA"/>
    <w:rsid w:val="00C4384F"/>
    <w:rsid w:val="00C60544"/>
    <w:rsid w:val="00C61EA3"/>
    <w:rsid w:val="00C637C8"/>
    <w:rsid w:val="00C6739E"/>
    <w:rsid w:val="00C7386D"/>
    <w:rsid w:val="00C74E32"/>
    <w:rsid w:val="00C807C2"/>
    <w:rsid w:val="00C81916"/>
    <w:rsid w:val="00C82670"/>
    <w:rsid w:val="00C8359C"/>
    <w:rsid w:val="00C852B5"/>
    <w:rsid w:val="00C863B8"/>
    <w:rsid w:val="00CA18C4"/>
    <w:rsid w:val="00CB3C2D"/>
    <w:rsid w:val="00CC21DA"/>
    <w:rsid w:val="00CC23A9"/>
    <w:rsid w:val="00CD1B24"/>
    <w:rsid w:val="00CD3E77"/>
    <w:rsid w:val="00CD657B"/>
    <w:rsid w:val="00CE077A"/>
    <w:rsid w:val="00CE4F3A"/>
    <w:rsid w:val="00CF2B10"/>
    <w:rsid w:val="00CF3978"/>
    <w:rsid w:val="00CF63C2"/>
    <w:rsid w:val="00CF7CE4"/>
    <w:rsid w:val="00D07942"/>
    <w:rsid w:val="00D07FBE"/>
    <w:rsid w:val="00D12843"/>
    <w:rsid w:val="00D1352F"/>
    <w:rsid w:val="00D138C4"/>
    <w:rsid w:val="00D16265"/>
    <w:rsid w:val="00D170E0"/>
    <w:rsid w:val="00D23C05"/>
    <w:rsid w:val="00D25F63"/>
    <w:rsid w:val="00D31909"/>
    <w:rsid w:val="00D32302"/>
    <w:rsid w:val="00D32D9A"/>
    <w:rsid w:val="00D5017F"/>
    <w:rsid w:val="00D64523"/>
    <w:rsid w:val="00D646CC"/>
    <w:rsid w:val="00D66520"/>
    <w:rsid w:val="00D705C5"/>
    <w:rsid w:val="00D83187"/>
    <w:rsid w:val="00D95819"/>
    <w:rsid w:val="00DA4CC4"/>
    <w:rsid w:val="00DA6170"/>
    <w:rsid w:val="00DB0B95"/>
    <w:rsid w:val="00DB3E97"/>
    <w:rsid w:val="00DC670C"/>
    <w:rsid w:val="00DC70EB"/>
    <w:rsid w:val="00DD293D"/>
    <w:rsid w:val="00DD3556"/>
    <w:rsid w:val="00DD66E6"/>
    <w:rsid w:val="00DE0B47"/>
    <w:rsid w:val="00DE4F9F"/>
    <w:rsid w:val="00DE5851"/>
    <w:rsid w:val="00E03836"/>
    <w:rsid w:val="00E041BF"/>
    <w:rsid w:val="00E14AF6"/>
    <w:rsid w:val="00E16999"/>
    <w:rsid w:val="00E272E8"/>
    <w:rsid w:val="00E363E7"/>
    <w:rsid w:val="00E44734"/>
    <w:rsid w:val="00E46CD3"/>
    <w:rsid w:val="00E4744F"/>
    <w:rsid w:val="00E51408"/>
    <w:rsid w:val="00E51A3D"/>
    <w:rsid w:val="00E531A6"/>
    <w:rsid w:val="00E62C52"/>
    <w:rsid w:val="00E67DC3"/>
    <w:rsid w:val="00E76D1B"/>
    <w:rsid w:val="00E81EAC"/>
    <w:rsid w:val="00E87BBF"/>
    <w:rsid w:val="00E909FD"/>
    <w:rsid w:val="00E93C30"/>
    <w:rsid w:val="00EA3502"/>
    <w:rsid w:val="00EC1AB0"/>
    <w:rsid w:val="00EC26CE"/>
    <w:rsid w:val="00ED12EF"/>
    <w:rsid w:val="00ED327C"/>
    <w:rsid w:val="00ED392D"/>
    <w:rsid w:val="00ED62DC"/>
    <w:rsid w:val="00EE689C"/>
    <w:rsid w:val="00EF18EF"/>
    <w:rsid w:val="00EF2C05"/>
    <w:rsid w:val="00EF37B4"/>
    <w:rsid w:val="00EF3EF8"/>
    <w:rsid w:val="00EF60A7"/>
    <w:rsid w:val="00EF71FE"/>
    <w:rsid w:val="00F11FAF"/>
    <w:rsid w:val="00F128E6"/>
    <w:rsid w:val="00F1373D"/>
    <w:rsid w:val="00F22CE6"/>
    <w:rsid w:val="00F25604"/>
    <w:rsid w:val="00F30ECC"/>
    <w:rsid w:val="00F34D05"/>
    <w:rsid w:val="00F413CA"/>
    <w:rsid w:val="00F508CA"/>
    <w:rsid w:val="00F54A3D"/>
    <w:rsid w:val="00F55927"/>
    <w:rsid w:val="00F55A83"/>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C60"/>
    <w:rsid w:val="00FD2036"/>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BAB788B3-ABE7-3543-BAEA-C546A6167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37</Pages>
  <Words>7501</Words>
  <Characters>42760</Characters>
  <Application>Microsoft Macintosh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50161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93</cp:revision>
  <dcterms:created xsi:type="dcterms:W3CDTF">2016-03-08T10:35:00Z</dcterms:created>
  <dcterms:modified xsi:type="dcterms:W3CDTF">2016-03-08T16:13:00Z</dcterms:modified>
</cp:coreProperties>
</file>