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248C60E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763624BA" w:rsidR="0051731B" w:rsidRPr="0051731B" w:rsidRDefault="0051731B" w:rsidP="0051731B">
      <w:r>
        <w:t xml:space="preserve">Questo capitolo tratta alcuni concetti di base dell’apprendimento statistico volti a fondare </w:t>
      </w:r>
      <w:r w:rsidR="00207F00">
        <w:t>concettualmente</w:t>
      </w:r>
      <w:r w:rsidR="00CF5F65">
        <w:t xml:space="preserve"> il caso di studio del III Capitolo, che per l’appunto consiste nella creazione di un modello di </w:t>
      </w:r>
      <w:r w:rsidR="00207F00">
        <w:t xml:space="preserve">regressione logistica </w:t>
      </w:r>
      <w:r w:rsidR="00CF5F65">
        <w:t>binaria. Per questo molti temi di alto valore ma altrettanta alta complessità, legati o ad algoritmo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w:t>
      </w:r>
      <w:r w:rsidR="00B14017">
        <w:rPr>
          <w:rFonts w:eastAsiaTheme="minorEastAsia"/>
        </w:rPr>
        <w:lastRenderedPageBreak/>
        <w:t>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616BFE"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Un ulteriore svantaggio è che, adattandosi molto ai dati processati, i modelli non-parametrici tendono a soffrire di più di un concetto chiave che incontreremo nel proseguo della trattazione, ovvero l’</w:t>
      </w:r>
      <w:r w:rsidR="00326606" w:rsidRPr="00326606">
        <w:rPr>
          <w:i/>
        </w:rPr>
        <w:t>overfitting</w:t>
      </w:r>
      <w:r w:rsidR="00326606">
        <w:t>.</w:t>
      </w:r>
    </w:p>
    <w:p w14:paraId="538D8C5F" w14:textId="78E9416B" w:rsidR="00424F16" w:rsidRDefault="00424F16" w:rsidP="00424F16">
      <w:pPr>
        <w:pStyle w:val="Titolo3"/>
      </w:pPr>
      <w:r>
        <w:t>Misurare l’adattamento ai dati del modello</w:t>
      </w:r>
    </w:p>
    <w:p w14:paraId="480A0A5A" w14:textId="4ADCBE84"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xml:space="preserve">, la regressione logistica l’AUC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77777777" w:rsidR="00163BD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p>
    <w:p w14:paraId="3BE72E40" w14:textId="31AE77BD" w:rsidR="00163BD9" w:rsidRDefault="00163BD9" w:rsidP="00163BD9">
      <w:pPr>
        <w:pStyle w:val="Titolo3"/>
      </w:pPr>
      <w:r>
        <w:t>Il paradigma train validate and test</w:t>
      </w:r>
      <w:r>
        <w:rPr>
          <w:rStyle w:val="Rimandonotaapidipagina"/>
          <w:i w:val="0"/>
        </w:rPr>
        <w:footnoteReference w:id="26"/>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7"/>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potrà performare su dati della medesima distribuzione di quelli utilizzati per l’analisi</w:t>
      </w:r>
      <w:r w:rsidR="00163BD9">
        <w:rPr>
          <w:rStyle w:val="Rimandonotaapidipagina"/>
        </w:rPr>
        <w:footnoteReference w:id="28"/>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29"/>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0"/>
      </w:r>
      <w:r w:rsidR="00D1527D">
        <w:t xml:space="preserve"> e flessibili) performeranno scarsamente </w:t>
      </w:r>
      <w:r w:rsidR="00D1527D">
        <w:lastRenderedPageBreak/>
        <w:t>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1"/>
      </w:r>
      <w:r w:rsidR="00454681">
        <w:rPr>
          <w:rFonts w:eastAsiaTheme="minorEastAsia"/>
        </w:rPr>
        <w:t>.</w:t>
      </w:r>
    </w:p>
    <w:p w14:paraId="5D5C0F9F" w14:textId="65E32FD4" w:rsidR="00876192" w:rsidRDefault="00263D69" w:rsidP="00263D69">
      <w:pPr>
        <w:pStyle w:val="Titolo3"/>
      </w:pPr>
      <w:r>
        <w:t>K-fold cross-validation</w:t>
      </w:r>
    </w:p>
    <w:p w14:paraId="7EBB86D9" w14:textId="4AC12F77"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k-fold 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2"/>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3"/>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test error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4"/>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r w:rsidRPr="00E22B1B">
        <w:rPr>
          <w:rFonts w:eastAsiaTheme="minorEastAsia"/>
          <w:i/>
        </w:rPr>
        <w:t>train validate and test</w:t>
      </w:r>
      <w:r>
        <w:rPr>
          <w:rFonts w:eastAsiaTheme="minorEastAsia"/>
        </w:rPr>
        <w:t xml:space="preserve"> questo approccio è computazionalmente più dispendioso, ma ha alcuni vantaggi.</w:t>
      </w:r>
    </w:p>
    <w:p w14:paraId="73304E8D" w14:textId="641B7FD5" w:rsidR="00454681" w:rsidRPr="00C65E80"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 validate and test</w:t>
      </w:r>
      <w:r>
        <w:rPr>
          <w:rFonts w:eastAsiaTheme="minorEastAsia"/>
        </w:rPr>
        <w:t xml:space="preserve">, 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alla casualità della partizione del dataset.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w:t>
      </w:r>
      <w:r w:rsidR="00C65E80">
        <w:rPr>
          <w:rFonts w:eastAsiaTheme="minorEastAsia"/>
        </w:rPr>
        <w:lastRenderedPageBreak/>
        <w:t xml:space="preserve">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5"/>
      </w:r>
      <w:r w:rsidR="00C65E80">
        <w:rPr>
          <w:rFonts w:eastAsiaTheme="minorEastAsia"/>
        </w:rPr>
        <w:t>.</w:t>
      </w:r>
    </w:p>
    <w:p w14:paraId="2866D4D0" w14:textId="00B7FE39" w:rsidR="00117E41" w:rsidRDefault="00117E41" w:rsidP="00117E41">
      <w:pPr>
        <w:pStyle w:val="Titolo1"/>
      </w:pPr>
      <w:r>
        <w:t>Selezione delle variabili</w:t>
      </w:r>
      <w:r w:rsidR="007A2B83">
        <w:t xml:space="preserve"> e selezione del modello</w:t>
      </w:r>
    </w:p>
    <w:p w14:paraId="05EEFA68" w14:textId="73D9E8E6" w:rsidR="00012935" w:rsidRPr="00012935" w:rsidRDefault="00012935" w:rsidP="00012935">
      <w:r>
        <w:t>Vedi anche ng</w:t>
      </w:r>
    </w:p>
    <w:p w14:paraId="6B3F46FE" w14:textId="766563C3" w:rsidR="001D322F" w:rsidRDefault="00117E41" w:rsidP="005C56A1">
      <w:pPr>
        <w:pStyle w:val="Titolo1"/>
      </w:pPr>
      <w:r>
        <w:t>Misurazione delle performance dei modelli di classificazione binaria</w:t>
      </w:r>
    </w:p>
    <w:p w14:paraId="2AB13703" w14:textId="5497C025" w:rsidR="005C56A1" w:rsidRDefault="00025268" w:rsidP="005C56A1">
      <w:pPr>
        <w:rPr>
          <w:rFonts w:eastAsiaTheme="minorEastAsia"/>
        </w:rPr>
      </w:pPr>
      <w:r>
        <w:t>Le performance predittive</w:t>
      </w:r>
      <w:r w:rsidR="000D43B2">
        <w:rPr>
          <w:rStyle w:val="Rimandonotaapidipagina"/>
        </w:rPr>
        <w:footnoteReference w:id="36"/>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oppure una probabilità (o comunque una misura graduale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t>La matrice di confusione</w:t>
      </w:r>
      <w:r w:rsidR="00B3366B">
        <w:rPr>
          <w:rFonts w:eastAsiaTheme="minorEastAsia"/>
        </w:rPr>
        <w:t xml:space="preserve"> e i suoi indicatori</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37"/>
      </w:r>
      <w:r w:rsidR="008E7795">
        <w:rPr>
          <w:rFonts w:eastAsiaTheme="minorEastAsia"/>
        </w:rPr>
        <w:t>:</w:t>
      </w:r>
    </w:p>
    <w:p w14:paraId="5571AA87" w14:textId="05CE9040" w:rsidR="008E7795" w:rsidRDefault="008E7795" w:rsidP="004D5825">
      <w:r w:rsidRPr="008E7795">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lastRenderedPageBreak/>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w:t>
      </w:r>
      <w:r>
        <w:t xml:space="preserve">, FP sta per </w:t>
      </w:r>
      <w:r w:rsidRPr="00097D4A">
        <w:rPr>
          <w:i/>
        </w:rPr>
        <w:t>false positive</w:t>
      </w:r>
      <w:r>
        <w:t xml:space="preserve"> – cioè i non-eventi</w:t>
      </w:r>
      <w:r>
        <w:t xml:space="preserve"> erroneamente predetti come </w:t>
      </w:r>
      <w:r>
        <w:t>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eventi</m:t>
          </m:r>
        </m:oMath>
      </m:oMathPara>
    </w:p>
    <w:p w14:paraId="589E15BB" w14:textId="57682621" w:rsidR="00806778" w:rsidRDefault="00806778" w:rsidP="00806778">
      <m:oMathPara>
        <m:oMath>
          <m:r>
            <w:rPr>
              <w:rFonts w:ascii="Cambria Math" w:hAnsi="Cambria Math"/>
            </w:rPr>
            <m:t>TP+FP=numero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positivi</m:t>
          </m:r>
        </m:oMath>
      </m:oMathPara>
    </w:p>
    <w:p w14:paraId="43B47CA7" w14:textId="17623FB6" w:rsidR="00806778" w:rsidRDefault="00806778" w:rsidP="00806778">
      <m:oMathPara>
        <m:oMath>
          <m:r>
            <w:rPr>
              <w:rFonts w:ascii="Cambria Math" w:hAnsi="Cambria Math"/>
            </w:rPr>
            <m:t>FP+TN=numero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non </m:t>
          </m:r>
          <m:r>
            <w:rPr>
              <w:rFonts w:ascii="Cambria Math" w:hAnsi="Cambria Math"/>
            </w:rPr>
            <m:t>eventi</m:t>
          </m:r>
        </m:oMath>
      </m:oMathPara>
    </w:p>
    <w:p w14:paraId="7E1EE4B6" w14:textId="6C79B68A" w:rsidR="00806778" w:rsidRDefault="00806778" w:rsidP="00806778">
      <m:oMathPara>
        <m:oMath>
          <m:r>
            <w:rPr>
              <w:rFonts w:ascii="Cambria Math" w:hAnsi="Cambria Math"/>
            </w:rPr>
            <m:t>FN+TN=numero</m:t>
          </m:r>
          <m:r>
            <w:rPr>
              <w:rFonts w:ascii="Cambria Math" w:hAnsi="Cambria Math"/>
            </w:rPr>
            <m:t xml:space="preserve"> </m:t>
          </m:r>
          <m:r>
            <w:rPr>
              <w:rFonts w:ascii="Cambria Math" w:hAnsi="Cambria Math"/>
            </w:rPr>
            <m:t>totale</m:t>
          </m:r>
          <m:r>
            <w:rPr>
              <w:rFonts w:ascii="Cambria Math" w:hAnsi="Cambria Math"/>
            </w:rPr>
            <m:t xml:space="preserve"> </m:t>
          </m:r>
          <m:r>
            <w:rPr>
              <w:rFonts w:ascii="Cambria Math" w:hAnsi="Cambria Math"/>
            </w:rPr>
            <m:t>di</m:t>
          </m:r>
          <m:r>
            <w:rPr>
              <w:rFonts w:ascii="Cambria Math" w:hAnsi="Cambria Math"/>
            </w:rPr>
            <m:t xml:space="preserve"> </m:t>
          </m:r>
          <m:r>
            <w:rPr>
              <w:rFonts w:ascii="Cambria Math" w:hAnsi="Cambria Math"/>
            </w:rPr>
            <m:t>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dove “positivo” sta per “predetto come evento” e “negativo” sta per “predetto come non-evento”.</w:t>
      </w:r>
    </w:p>
    <w:p w14:paraId="2F32E463" w14:textId="547C5035" w:rsidR="00806778" w:rsidRDefault="004E1B44" w:rsidP="004E1B44">
      <w:r>
        <w:t>Il primo indicatore</w:t>
      </w:r>
      <w:r w:rsidR="00111B32">
        <w:rPr>
          <w:rStyle w:val="Rimandonotaapidipagina"/>
        </w:rPr>
        <w:footnoteReference w:id="38"/>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39"/>
      </w:r>
      <w:r w:rsidR="003805FC">
        <w:t>:</w:t>
      </w:r>
    </w:p>
    <w:p w14:paraId="77B46ECB" w14:textId="600B4F37" w:rsidR="003805FC" w:rsidRDefault="003805FC" w:rsidP="003805FC">
      <m:oMathPara>
        <m:oMath>
          <m:r>
            <w:rPr>
              <w:rFonts w:ascii="Cambria Math" w:hAnsi="Cambria Math"/>
            </w:rPr>
            <m:t>A</m:t>
          </m:r>
          <m:r>
            <w:rPr>
              <w:rFonts w:ascii="Cambria Math" w:hAnsi="Cambria Math"/>
            </w:rPr>
            <m:t>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40"/>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w:lastRenderedPageBreak/>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 xml:space="preserve">=classe </m:t>
          </m:r>
          <m:r>
            <w:rPr>
              <w:rFonts w:ascii="Cambria Math" w:eastAsiaTheme="minorEastAsia" w:hAnsi="Cambria Math"/>
            </w:rPr>
            <m:t>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r w:rsidR="005E3279" w:rsidRPr="005E3279">
        <w:rPr>
          <w:rFonts w:eastAsiaTheme="minorEastAsia"/>
          <w:i/>
        </w:rPr>
        <w:t>accuracy</w:t>
      </w:r>
      <w:r w:rsidR="005E3279">
        <w:rPr>
          <w:rFonts w:eastAsiaTheme="minorEastAsia"/>
        </w:rPr>
        <w:t xml:space="preserve"> dello </w:t>
      </w:r>
      <m:oMath>
        <m:r>
          <w:rPr>
            <w:rFonts w:ascii="Cambria Math" w:eastAsiaTheme="minorEastAsia" w:hAnsi="Cambria Math"/>
          </w:rPr>
          <m:t>0.</m:t>
        </m:r>
        <m:r>
          <w:rPr>
            <w:rFonts w:ascii="Cambria Math" w:eastAsiaTheme="minorEastAsia" w:hAnsi="Cambria Math"/>
          </w:rPr>
          <m:t>99</m:t>
        </m:r>
        <m:r>
          <w:rPr>
            <w:rFonts w:ascii="Cambria Math" w:eastAsiaTheme="minorEastAsia" w:hAnsi="Cambria Math"/>
          </w:rPr>
          <m:t>9</m:t>
        </m:r>
      </m:oMath>
      <w:r w:rsidR="005E3279">
        <w:rPr>
          <w:rFonts w:eastAsiaTheme="minorEastAsia"/>
        </w:rPr>
        <w:t xml:space="preserve"> e pur tuttavia sarà completamente inutile</w:t>
      </w:r>
      <w:r w:rsidR="005E3279">
        <w:rPr>
          <w:rStyle w:val="Rimandonotaapidipagina"/>
          <w:rFonts w:eastAsiaTheme="minorEastAsia"/>
        </w:rPr>
        <w:footnoteReference w:id="41"/>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xml:space="preserve">, e misura la probabilità che un </w:t>
      </w:r>
      <w:r>
        <w:t>non-</w:t>
      </w:r>
      <w:r>
        <w:t>evento venga classificato come tale dal modello</w:t>
      </w:r>
      <w:r w:rsidRPr="00E7653F">
        <w:t xml:space="preserve"> </w:t>
      </w:r>
      <w:r>
        <w:t xml:space="preserve">in termini di proporzione di </w:t>
      </w:r>
      <w:r>
        <w:t>non-</w:t>
      </w:r>
      <w:r>
        <w:t xml:space="preserve">eventi classificati come </w:t>
      </w:r>
      <w:r>
        <w:t>negativi</w:t>
      </w:r>
      <w:r>
        <w:t>.</w:t>
      </w:r>
    </w:p>
    <w:p w14:paraId="45360191" w14:textId="224DCBF2" w:rsidR="00E7653F" w:rsidRDefault="00E7653F" w:rsidP="00E7653F">
      <w:r>
        <w:t>Due valori alti, prossimi all’unità, di questi due indicatori rappresentano una vista molto più robusta delle performance di un modello</w:t>
      </w:r>
      <w:r w:rsidR="003D24B9">
        <w:rPr>
          <w:rStyle w:val="Rimandonotaapidipagina"/>
        </w:rPr>
        <w:footnoteReference w:id="42"/>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43"/>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w:lastRenderedPageBreak/>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44"/>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45"/>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i </w:t>
      </w:r>
      <w:r w:rsidR="00476CD1" w:rsidRPr="00476CD1">
        <w:rPr>
          <w:rFonts w:eastAsiaTheme="minorEastAsia"/>
          <w:i/>
        </w:rPr>
        <w:t>false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719FA5B1" w:rsidR="00857B24" w:rsidRDefault="00191D88" w:rsidP="00857B24">
      <w:r>
        <w:t xml:space="preserve">Da un punto di vista probabilistico si può considerare la </w:t>
      </w:r>
      <w:r w:rsidRPr="00191D88">
        <w:rPr>
          <w:i/>
        </w:rPr>
        <w:t>prevalence</w:t>
      </w:r>
      <w:r>
        <w:t xml:space="preserve"> la </w:t>
      </w:r>
      <w:r w:rsidR="00C807E9" w:rsidRPr="00C807E9">
        <w:rPr>
          <w:i/>
        </w:rPr>
        <w:t>precision</w:t>
      </w:r>
      <w:r w:rsidR="00C807E9">
        <w:t xml:space="preserve"> di un classificatore casuale. Un confronto </w:t>
      </w:r>
      <w:r w:rsidR="00C807E9" w:rsidRPr="00191D88">
        <w:rPr>
          <w:i/>
        </w:rPr>
        <w:t>prevalence</w:t>
      </w:r>
      <w:r w:rsidR="00C807E9">
        <w:t xml:space="preserve"> </w:t>
      </w:r>
      <w:r w:rsidR="00C807E9">
        <w:t xml:space="preserve">e </w:t>
      </w:r>
      <w:r w:rsidR="00C807E9" w:rsidRPr="00C807E9">
        <w:rPr>
          <w:i/>
        </w:rPr>
        <w:t>precision</w:t>
      </w:r>
      <w:r w:rsidR="00C807E9">
        <w:t xml:space="preserve"> </w:t>
      </w:r>
      <w:r w:rsidR="00C807E9">
        <w:t xml:space="preserve">ci direbbe quindi quanto il modello migliora le performance classificatorie del caso. A tal fine si usa il </w:t>
      </w:r>
      <w:r w:rsidR="00C807E9" w:rsidRPr="00C807E9">
        <w:rPr>
          <w:i/>
        </w:rPr>
        <w:t>positive diagnostic likelihood ratio</w:t>
      </w:r>
      <w:r w:rsidR="00C807E9">
        <w:t xml:space="preserve">, </w:t>
      </w:r>
      <w:r w:rsidR="00F133F8">
        <w:t>P</w:t>
      </w:r>
      <w:r w:rsidR="00C807E9">
        <w:t>DLR</w:t>
      </w:r>
      <w:r w:rsidR="00C807E9">
        <w:rPr>
          <w:rStyle w:val="Rimandonotaapidipagina"/>
        </w:rPr>
        <w:footnoteReference w:id="46"/>
      </w:r>
      <w:r w:rsidR="00306BEB">
        <w:t>, che confronta non le probabilità ma gli ODDS</w:t>
      </w:r>
      <w:r w:rsidR="00306BEB">
        <w:rPr>
          <w:rStyle w:val="Rimandonotaapidipagina"/>
        </w:rPr>
        <w:footnoteReference w:id="47"/>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48"/>
      </w:r>
      <w:r>
        <w:t xml:space="preserve"> essere identico a:</w:t>
      </w:r>
    </w:p>
    <w:p w14:paraId="22A03277" w14:textId="4AEE4C1E"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w:t>
      </w:r>
      <w:r>
        <w:t>PDLR</w:t>
      </w:r>
      <w:r>
        <w:t xml:space="preserve"> alto, diciamo sopra </w:t>
      </w:r>
      <m:oMath>
        <m:r>
          <w:rPr>
            <w:rFonts w:ascii="Cambria Math" w:hAnsi="Cambria Math"/>
          </w:rPr>
          <m:t>4</m:t>
        </m:r>
        <m:r>
          <w:rPr>
            <w:rStyle w:val="Rimandonotaapidipagina"/>
            <w:rFonts w:ascii="Cambria Math" w:hAnsi="Cambria Math"/>
            <w:i/>
          </w:rPr>
          <w:footnoteReference w:id="49"/>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50"/>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lastRenderedPageBreak/>
        <w:t>La curva ROC</w:t>
      </w:r>
    </w:p>
    <w:p w14:paraId="1EB1DAFB" w14:textId="77777777" w:rsidR="00916777" w:rsidRPr="00916777" w:rsidRDefault="00916777" w:rsidP="00916777">
      <w:bookmarkStart w:id="1" w:name="_GoBack"/>
      <w:bookmarkEnd w:id="1"/>
    </w:p>
    <w:p w14:paraId="0D4C5BA6" w14:textId="77777777" w:rsidR="00B3366B" w:rsidRDefault="00B3366B" w:rsidP="00F133F8">
      <w:pPr>
        <w:ind w:firstLine="0"/>
      </w:pPr>
    </w:p>
    <w:p w14:paraId="1B459087" w14:textId="0D9B8E87" w:rsidR="00E7653F" w:rsidRPr="00E7653F" w:rsidRDefault="00E7653F" w:rsidP="00864AAF"/>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51"/>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2"/>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53"/>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54"/>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55"/>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56"/>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57"/>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58"/>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59"/>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60"/>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61"/>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62"/>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616BFE"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616BFE"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63"/>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64"/>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65"/>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66"/>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67"/>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616BFE"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616BFE"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68"/>
      </w:r>
      <w:r w:rsidR="00105287">
        <w:t xml:space="preserve">. Basterà quindi utilizzare la statistica test </w:t>
      </w:r>
      <m:oMath>
        <m:r>
          <w:rPr>
            <w:rFonts w:ascii="Cambria Math" w:hAnsi="Cambria Math"/>
          </w:rPr>
          <m:t>Z</m:t>
        </m:r>
      </m:oMath>
      <w:r w:rsidR="00105287" w:rsidRPr="007600F8">
        <w:rPr>
          <w:rStyle w:val="Rimandonotaapidipagina"/>
        </w:rPr>
        <w:footnoteReference w:id="69"/>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70"/>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71"/>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72"/>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73"/>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74"/>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75"/>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76"/>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77"/>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78"/>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616BFE"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616BFE"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79"/>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80"/>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81"/>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616BFE"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82"/>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83"/>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84"/>
        </m:r>
      </m:oMath>
      <w:r w:rsidR="00C82670">
        <w:t xml:space="preserve">. Con molte variabili </w:t>
      </w:r>
      <w:r w:rsidR="00C82670">
        <w:lastRenderedPageBreak/>
        <w:t>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85"/>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86"/>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87"/>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88"/>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89"/>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90"/>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91"/>
      </w:r>
      <w:r w:rsidR="00411A5F">
        <w:t>; questo può non verificarsi in ragione dei dati che si è raccolto (serie storiche piuttosto che campionamento a grappoli</w:t>
      </w:r>
      <w:r w:rsidR="00411A5F">
        <w:rPr>
          <w:rStyle w:val="Rimandonotaapidipagina"/>
        </w:rPr>
        <w:footnoteReference w:id="92"/>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93"/>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94"/>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95"/>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96"/>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97"/>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98"/>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99"/>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00"/>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101"/>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02"/>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03"/>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04"/>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05"/>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2"/>
      <w:footerReference w:type="default" r:id="rId13"/>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1C5D6" w14:textId="77777777" w:rsidR="00823F1D" w:rsidRDefault="00823F1D" w:rsidP="00FB0831">
      <w:pPr>
        <w:spacing w:after="0" w:line="240" w:lineRule="auto"/>
      </w:pPr>
      <w:r>
        <w:separator/>
      </w:r>
    </w:p>
  </w:endnote>
  <w:endnote w:type="continuationSeparator" w:id="0">
    <w:p w14:paraId="72CAEB55" w14:textId="77777777" w:rsidR="00823F1D" w:rsidRDefault="00823F1D"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616BFE" w:rsidRDefault="00616BFE"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616BFE" w:rsidRDefault="00616BF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616BFE" w:rsidRDefault="00616BFE">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16777">
      <w:rPr>
        <w:caps/>
        <w:noProof/>
        <w:color w:val="5B9BD5" w:themeColor="accent1"/>
      </w:rPr>
      <w:t>26</w:t>
    </w:r>
    <w:r>
      <w:rPr>
        <w:caps/>
        <w:color w:val="5B9BD5" w:themeColor="accent1"/>
      </w:rPr>
      <w:fldChar w:fldCharType="end"/>
    </w:r>
  </w:p>
  <w:p w14:paraId="5176805A" w14:textId="77777777" w:rsidR="00616BFE" w:rsidRDefault="00616BF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5E676" w14:textId="77777777" w:rsidR="00823F1D" w:rsidRDefault="00823F1D" w:rsidP="00FB0831">
      <w:pPr>
        <w:spacing w:after="0" w:line="240" w:lineRule="auto"/>
      </w:pPr>
      <w:r>
        <w:separator/>
      </w:r>
    </w:p>
  </w:footnote>
  <w:footnote w:type="continuationSeparator" w:id="0">
    <w:p w14:paraId="1FA6FBF5" w14:textId="77777777" w:rsidR="00823F1D" w:rsidRDefault="00823F1D" w:rsidP="00FB0831">
      <w:pPr>
        <w:spacing w:after="0" w:line="240" w:lineRule="auto"/>
      </w:pPr>
      <w:r>
        <w:continuationSeparator/>
      </w:r>
    </w:p>
  </w:footnote>
  <w:footnote w:id="1">
    <w:p w14:paraId="739E980F" w14:textId="6C19FEE8" w:rsidR="00616BFE" w:rsidRDefault="00616BFE">
      <w:pPr>
        <w:pStyle w:val="Testonotaapidipagina"/>
      </w:pPr>
      <w:r>
        <w:rPr>
          <w:rStyle w:val="Rimandonotaapidipagina"/>
        </w:rPr>
        <w:footnoteRef/>
      </w:r>
      <w:r>
        <w:t xml:space="preserve"> Fai una citazione qui</w:t>
      </w:r>
    </w:p>
  </w:footnote>
  <w:footnote w:id="2">
    <w:p w14:paraId="2F0231CB" w14:textId="646225AC" w:rsidR="00616BFE" w:rsidRDefault="00616BFE">
      <w:pPr>
        <w:pStyle w:val="Testonotaapidipagina"/>
      </w:pPr>
      <w:r>
        <w:rPr>
          <w:rStyle w:val="Rimandonotaapidipagina"/>
        </w:rPr>
        <w:footnoteRef/>
      </w:r>
      <w:r>
        <w:t xml:space="preserve"> per i dettagli vedi capitolo terzo</w:t>
      </w:r>
    </w:p>
  </w:footnote>
  <w:footnote w:id="3">
    <w:p w14:paraId="1DC795F2" w14:textId="2FDB8890" w:rsidR="00616BFE" w:rsidRDefault="00616BFE">
      <w:pPr>
        <w:pStyle w:val="Testonotaapidipagina"/>
      </w:pPr>
      <w:r>
        <w:rPr>
          <w:rStyle w:val="Rimandonotaapidipagina"/>
        </w:rPr>
        <w:footnoteRef/>
      </w:r>
      <w:r>
        <w:t xml:space="preserve"> grosso spunto da ISLR</w:t>
      </w:r>
    </w:p>
  </w:footnote>
  <w:footnote w:id="4">
    <w:p w14:paraId="7E7687F0" w14:textId="1EEAE022" w:rsidR="00616BFE" w:rsidRDefault="00616BFE">
      <w:pPr>
        <w:pStyle w:val="Testonotaapidipagina"/>
      </w:pPr>
      <w:r>
        <w:rPr>
          <w:rStyle w:val="Rimandonotaapidipagina"/>
        </w:rPr>
        <w:footnoteRef/>
      </w:r>
      <w:r>
        <w:t xml:space="preserve"> kuhn p. 2.</w:t>
      </w:r>
    </w:p>
  </w:footnote>
  <w:footnote w:id="5">
    <w:p w14:paraId="112968B1" w14:textId="756A9BF0" w:rsidR="00616BFE" w:rsidRDefault="00616BFE">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616BFE" w:rsidRDefault="00616BFE">
      <w:pPr>
        <w:pStyle w:val="Testonotaapidipagina"/>
      </w:pPr>
      <w:r>
        <w:rPr>
          <w:rStyle w:val="Rimandonotaapidipagina"/>
        </w:rPr>
        <w:footnoteRef/>
      </w:r>
      <w:r>
        <w:t xml:space="preserve"> ISLR p. 16</w:t>
      </w:r>
    </w:p>
  </w:footnote>
  <w:footnote w:id="7">
    <w:p w14:paraId="2D95FE70" w14:textId="2A3638FD" w:rsidR="00616BFE" w:rsidRDefault="00616BFE">
      <w:pPr>
        <w:pStyle w:val="Testonotaapidipagina"/>
      </w:pPr>
      <w:r>
        <w:rPr>
          <w:rStyle w:val="Rimandonotaapidipagina"/>
        </w:rPr>
        <w:footnoteRef/>
      </w:r>
      <w:r>
        <w:t xml:space="preserve"> ISLR ‘. 18</w:t>
      </w:r>
    </w:p>
  </w:footnote>
  <w:footnote w:id="8">
    <w:p w14:paraId="4624A133" w14:textId="5445C605" w:rsidR="00616BFE" w:rsidRDefault="00616BFE">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616BFE" w:rsidRDefault="00616BFE">
      <w:pPr>
        <w:pStyle w:val="Testonotaapidipagina"/>
      </w:pPr>
      <w:r>
        <w:rPr>
          <w:rStyle w:val="Rimandonotaapidipagina"/>
        </w:rPr>
        <w:footnoteRef/>
      </w:r>
      <w:r>
        <w:t xml:space="preserve"> Kuhn p.4</w:t>
      </w:r>
    </w:p>
  </w:footnote>
  <w:footnote w:id="10">
    <w:p w14:paraId="6B5FE3A7" w14:textId="3A6E2AE1" w:rsidR="00616BFE" w:rsidRPr="00F128E6" w:rsidRDefault="00616BFE"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616BFE" w:rsidRDefault="00616BFE"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616BFE" w:rsidRDefault="00616BFE">
      <w:pPr>
        <w:pStyle w:val="Testonotaapidipagina"/>
      </w:pPr>
      <w:r>
        <w:rPr>
          <w:rStyle w:val="Rimandonotaapidipagina"/>
        </w:rPr>
        <w:footnoteRef/>
      </w:r>
      <w:r>
        <w:t xml:space="preserve"> Vedi secondo capitolo per distinzione tra le due</w:t>
      </w:r>
    </w:p>
  </w:footnote>
  <w:footnote w:id="13">
    <w:p w14:paraId="735867DD" w14:textId="514B7C4A" w:rsidR="00616BFE" w:rsidRDefault="00616BFE">
      <w:pPr>
        <w:pStyle w:val="Testonotaapidipagina"/>
      </w:pPr>
      <w:r>
        <w:rPr>
          <w:rStyle w:val="Rimandonotaapidipagina"/>
        </w:rPr>
        <w:footnoteRef/>
      </w:r>
      <w:r>
        <w:t xml:space="preserve"> Manuale capitolo 19 (internet) pagina 15</w:t>
      </w:r>
    </w:p>
  </w:footnote>
  <w:footnote w:id="14">
    <w:p w14:paraId="6105AB72" w14:textId="24CAFA33" w:rsidR="00616BFE" w:rsidRDefault="00616BFE">
      <w:pPr>
        <w:pStyle w:val="Testonotaapidipagina"/>
      </w:pPr>
      <w:r>
        <w:rPr>
          <w:rStyle w:val="Rimandonotaapidipagina"/>
        </w:rPr>
        <w:footnoteRef/>
      </w:r>
      <w:r>
        <w:t xml:space="preserve"> Vedi secondo capitolo</w:t>
      </w:r>
    </w:p>
  </w:footnote>
  <w:footnote w:id="15">
    <w:p w14:paraId="3F9095DF" w14:textId="66D4F29E" w:rsidR="00616BFE" w:rsidRPr="009756F9" w:rsidRDefault="00616BFE">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616BFE" w:rsidRDefault="00616BFE">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616BFE" w:rsidRDefault="00616BFE">
      <w:pPr>
        <w:pStyle w:val="Testonotaapidipagina"/>
      </w:pPr>
      <w:r>
        <w:rPr>
          <w:rStyle w:val="Rimandonotaapidipagina"/>
        </w:rPr>
        <w:footnoteRef/>
      </w:r>
      <w:r>
        <w:t xml:space="preserve"> ISLR 30</w:t>
      </w:r>
    </w:p>
  </w:footnote>
  <w:footnote w:id="18">
    <w:p w14:paraId="39886501" w14:textId="487AF7F0" w:rsidR="00616BFE" w:rsidRDefault="00616BFE">
      <w:pPr>
        <w:pStyle w:val="Testonotaapidipagina"/>
      </w:pPr>
      <w:r>
        <w:rPr>
          <w:rStyle w:val="Rimandonotaapidipagina"/>
        </w:rPr>
        <w:footnoteRef/>
      </w:r>
      <w:r>
        <w:t xml:space="preserve"> ISLR 47</w:t>
      </w:r>
    </w:p>
  </w:footnote>
  <w:footnote w:id="19">
    <w:p w14:paraId="11F88A5D" w14:textId="75E017D3" w:rsidR="00616BFE" w:rsidRDefault="00616BFE">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616BFE" w:rsidRDefault="00616BFE">
      <w:pPr>
        <w:pStyle w:val="Testonotaapidipagina"/>
      </w:pPr>
      <w:r>
        <w:rPr>
          <w:rStyle w:val="Rimandonotaapidipagina"/>
        </w:rPr>
        <w:footnoteRef/>
      </w:r>
      <w:r>
        <w:t xml:space="preserve"> ISLR 24</w:t>
      </w:r>
    </w:p>
  </w:footnote>
  <w:footnote w:id="21">
    <w:p w14:paraId="30DBD9BF" w14:textId="5E04E41D" w:rsidR="00616BFE" w:rsidRDefault="00616BFE">
      <w:pPr>
        <w:pStyle w:val="Testonotaapidipagina"/>
      </w:pPr>
      <w:r>
        <w:rPr>
          <w:rStyle w:val="Rimandonotaapidipagina"/>
        </w:rPr>
        <w:footnoteRef/>
      </w:r>
      <w:r>
        <w:t xml:space="preserve"> spunto da bishop 3</w:t>
      </w:r>
    </w:p>
  </w:footnote>
  <w:footnote w:id="22">
    <w:p w14:paraId="6FCBDA0E" w14:textId="68EBB9E3" w:rsidR="00616BFE" w:rsidRDefault="00616BFE">
      <w:pPr>
        <w:pStyle w:val="Testonotaapidipagina"/>
      </w:pPr>
      <w:r>
        <w:rPr>
          <w:rStyle w:val="Rimandonotaapidipagina"/>
        </w:rPr>
        <w:footnoteRef/>
      </w:r>
      <w:r>
        <w:t xml:space="preserve"> manuale 268</w:t>
      </w:r>
    </w:p>
  </w:footnote>
  <w:footnote w:id="23">
    <w:p w14:paraId="63032134" w14:textId="676C0E9A" w:rsidR="00616BFE" w:rsidRDefault="00616BFE">
      <w:pPr>
        <w:pStyle w:val="Testonotaapidipagina"/>
      </w:pPr>
      <w:r>
        <w:rPr>
          <w:rStyle w:val="Rimandonotaapidipagina"/>
        </w:rPr>
        <w:footnoteRef/>
      </w:r>
      <w:r>
        <w:t xml:space="preserve"> kuhn 97 e manuale 268</w:t>
      </w:r>
    </w:p>
  </w:footnote>
  <w:footnote w:id="24">
    <w:p w14:paraId="59FC554F" w14:textId="39F7D00E" w:rsidR="00616BFE" w:rsidRDefault="00616BFE">
      <w:pPr>
        <w:pStyle w:val="Testonotaapidipagina"/>
      </w:pPr>
      <w:r>
        <w:rPr>
          <w:rStyle w:val="Rimandonotaapidipagina"/>
        </w:rPr>
        <w:footnoteRef/>
      </w:r>
      <w:r>
        <w:t xml:space="preserve"> ISLR 35</w:t>
      </w:r>
    </w:p>
  </w:footnote>
  <w:footnote w:id="25">
    <w:p w14:paraId="0BD05866" w14:textId="3D707CE6" w:rsidR="00616BFE" w:rsidRDefault="00616BFE">
      <w:pPr>
        <w:pStyle w:val="Testonotaapidipagina"/>
      </w:pPr>
      <w:r>
        <w:rPr>
          <w:rStyle w:val="Rimandonotaapidipagina"/>
        </w:rPr>
        <w:footnoteRef/>
      </w:r>
      <w:r>
        <w:t xml:space="preserve"> denominazione generica che si ritrova in tutte le opere sull’argomento citate in questo elaborato.</w:t>
      </w:r>
    </w:p>
  </w:footnote>
  <w:footnote w:id="26">
    <w:p w14:paraId="736CD82F" w14:textId="77777777" w:rsidR="00616BFE" w:rsidRDefault="00616BFE" w:rsidP="00163BD9">
      <w:pPr>
        <w:pStyle w:val="Testonotaapidipagina"/>
      </w:pPr>
      <w:r>
        <w:rPr>
          <w:rStyle w:val="Rimandonotaapidipagina"/>
        </w:rPr>
        <w:footnoteRef/>
      </w:r>
      <w:r>
        <w:t xml:space="preserve"> Jmp 10.</w:t>
      </w:r>
    </w:p>
  </w:footnote>
  <w:footnote w:id="27">
    <w:p w14:paraId="09593E49" w14:textId="60776E41" w:rsidR="00616BFE" w:rsidRDefault="00616BFE">
      <w:pPr>
        <w:pStyle w:val="Testonotaapidipagina"/>
      </w:pPr>
      <w:r>
        <w:rPr>
          <w:rStyle w:val="Rimandonotaapidipagina"/>
        </w:rPr>
        <w:footnoteRef/>
      </w:r>
      <w:r>
        <w:t xml:space="preserve"> ESL 222</w:t>
      </w:r>
    </w:p>
  </w:footnote>
  <w:footnote w:id="28">
    <w:p w14:paraId="58A3BD41" w14:textId="1B16D9E5" w:rsidR="00616BFE" w:rsidRDefault="00616BFE">
      <w:pPr>
        <w:pStyle w:val="Testonotaapidipagina"/>
      </w:pPr>
      <w:r>
        <w:rPr>
          <w:rStyle w:val="Rimandonotaapidipagina"/>
        </w:rPr>
        <w:footnoteRef/>
      </w:r>
      <w:r>
        <w:t xml:space="preserve"> ESL 222</w:t>
      </w:r>
    </w:p>
  </w:footnote>
  <w:footnote w:id="29">
    <w:p w14:paraId="4B4B222F" w14:textId="7597FB95" w:rsidR="00616BFE" w:rsidRDefault="00616BFE">
      <w:pPr>
        <w:pStyle w:val="Testonotaapidipagina"/>
      </w:pPr>
      <w:r>
        <w:rPr>
          <w:rStyle w:val="Rimandonotaapidipagina"/>
        </w:rPr>
        <w:footnoteRef/>
      </w:r>
      <w:r>
        <w:t xml:space="preserve"> mithcel 111</w:t>
      </w:r>
    </w:p>
  </w:footnote>
  <w:footnote w:id="30">
    <w:p w14:paraId="15E5D400" w14:textId="18DABD35" w:rsidR="00616BFE" w:rsidRDefault="00616BFE">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1">
    <w:p w14:paraId="416B466E" w14:textId="53057DD4" w:rsidR="00616BFE" w:rsidRDefault="00616BFE">
      <w:pPr>
        <w:pStyle w:val="Testonotaapidipagina"/>
      </w:pPr>
      <w:r>
        <w:rPr>
          <w:rStyle w:val="Rimandonotaapidipagina"/>
        </w:rPr>
        <w:footnoteRef/>
      </w:r>
      <w:r>
        <w:t xml:space="preserve"> per una dimostrazione grafica con dati simulati cfr ISLR p- 178</w:t>
      </w:r>
    </w:p>
  </w:footnote>
  <w:footnote w:id="32">
    <w:p w14:paraId="7046B9FA" w14:textId="37D6FFCC" w:rsidR="00616BFE" w:rsidRDefault="00616BFE">
      <w:pPr>
        <w:pStyle w:val="Testonotaapidipagina"/>
      </w:pPr>
      <w:r>
        <w:rPr>
          <w:rStyle w:val="Rimandonotaapidipagina"/>
        </w:rPr>
        <w:footnoteRef/>
      </w:r>
      <w:r>
        <w:t xml:space="preserve"> kuhn 68</w:t>
      </w:r>
    </w:p>
  </w:footnote>
  <w:footnote w:id="33">
    <w:p w14:paraId="2EFC50B8" w14:textId="4AACE54A" w:rsidR="00616BFE" w:rsidRDefault="00616BFE">
      <w:pPr>
        <w:pStyle w:val="Testonotaapidipagina"/>
      </w:pPr>
      <w:r>
        <w:rPr>
          <w:rStyle w:val="Rimandonotaapidipagina"/>
        </w:rPr>
        <w:footnoteRef/>
      </w:r>
      <w:r>
        <w:t xml:space="preserve"> kuhn 70</w:t>
      </w:r>
    </w:p>
  </w:footnote>
  <w:footnote w:id="34">
    <w:p w14:paraId="6BEB8301" w14:textId="00E53652" w:rsidR="00616BFE" w:rsidRDefault="00616BFE">
      <w:pPr>
        <w:pStyle w:val="Testonotaapidipagina"/>
      </w:pPr>
      <w:r>
        <w:rPr>
          <w:rStyle w:val="Rimandonotaapidipagina"/>
        </w:rPr>
        <w:footnoteRef/>
      </w:r>
      <w:r>
        <w:t xml:space="preserve"> ISLR 181</w:t>
      </w:r>
    </w:p>
  </w:footnote>
  <w:footnote w:id="35">
    <w:p w14:paraId="4044E488" w14:textId="2CA8D5B6" w:rsidR="00616BFE" w:rsidRDefault="00616BFE">
      <w:pPr>
        <w:pStyle w:val="Testonotaapidipagina"/>
      </w:pPr>
      <w:r>
        <w:rPr>
          <w:rStyle w:val="Rimandonotaapidipagina"/>
        </w:rPr>
        <w:footnoteRef/>
      </w:r>
      <w:r>
        <w:t xml:space="preserve"> ISLR 183.</w:t>
      </w:r>
    </w:p>
  </w:footnote>
  <w:footnote w:id="36">
    <w:p w14:paraId="2473C392" w14:textId="52E272F8" w:rsidR="00616BFE" w:rsidRDefault="00616BFE">
      <w:pPr>
        <w:pStyle w:val="Testonotaapidipagina"/>
      </w:pPr>
      <w:r>
        <w:rPr>
          <w:rStyle w:val="Rimandonotaapidipagina"/>
        </w:rPr>
        <w:footnoteRef/>
      </w:r>
      <w:r>
        <w:t xml:space="preserve"> Vedi cap II per differenza con bontà di adattamento</w:t>
      </w:r>
    </w:p>
  </w:footnote>
  <w:footnote w:id="37">
    <w:p w14:paraId="0BBA6002" w14:textId="63949761" w:rsidR="00616BFE" w:rsidRDefault="00616BFE">
      <w:pPr>
        <w:pStyle w:val="Testonotaapidipagina"/>
      </w:pPr>
      <w:r>
        <w:rPr>
          <w:rStyle w:val="Rimandonotaapidipagina"/>
        </w:rPr>
        <w:footnoteRef/>
      </w:r>
      <w:r>
        <w:t xml:space="preserve"> kuhn 254</w:t>
      </w:r>
    </w:p>
  </w:footnote>
  <w:footnote w:id="38">
    <w:p w14:paraId="0CE1B076" w14:textId="63E2D5FC" w:rsidR="00111B32" w:rsidRDefault="00111B32">
      <w:pPr>
        <w:pStyle w:val="Testonotaapidipagina"/>
      </w:pPr>
      <w:r>
        <w:rPr>
          <w:rStyle w:val="Rimandonotaapidipagina"/>
        </w:rPr>
        <w:footnoteRef/>
      </w:r>
      <w:r>
        <w:t xml:space="preserve"> Cfr. per gli indicatori </w:t>
      </w:r>
      <w:r w:rsidR="003805FC" w:rsidRPr="003805FC">
        <w:t>http://www.dataschool.io/simple-guide-to-confusion-matrix-terminology/</w:t>
      </w:r>
    </w:p>
  </w:footnote>
  <w:footnote w:id="39">
    <w:p w14:paraId="05F29A8B" w14:textId="1B88A2F3" w:rsidR="004E1B44" w:rsidRDefault="004E1B44">
      <w:pPr>
        <w:pStyle w:val="Testonotaapidipagina"/>
      </w:pPr>
      <w:r>
        <w:rPr>
          <w:rStyle w:val="Rimandonotaapidipagina"/>
        </w:rPr>
        <w:footnoteRef/>
      </w:r>
      <w:r>
        <w:t xml:space="preserve"> questi indicatori li metto in inglese perché si usa così persino in italiano</w:t>
      </w:r>
    </w:p>
  </w:footnote>
  <w:footnote w:id="40">
    <w:p w14:paraId="398E35CA" w14:textId="6145E0AC" w:rsidR="005E3279" w:rsidRDefault="005E3279">
      <w:pPr>
        <w:pStyle w:val="Testonotaapidipagina"/>
      </w:pPr>
      <w:r>
        <w:rPr>
          <w:rStyle w:val="Rimandonotaapidipagina"/>
        </w:rPr>
        <w:footnoteRef/>
      </w:r>
      <w:r>
        <w:t xml:space="preserve"> che in statistica bayesiana è la probabilità a priori</w:t>
      </w:r>
    </w:p>
  </w:footnote>
  <w:footnote w:id="41">
    <w:p w14:paraId="6A852510" w14:textId="3E9D16ED" w:rsidR="005E3279" w:rsidRDefault="005E3279">
      <w:pPr>
        <w:pStyle w:val="Testonotaapidipagina"/>
      </w:pPr>
      <w:r>
        <w:rPr>
          <w:rStyle w:val="Rimandonotaapidipagina"/>
        </w:rPr>
        <w:footnoteRef/>
      </w:r>
      <w:r>
        <w:t xml:space="preserve"> per l’esempio vedi caffo statinf p. 18</w:t>
      </w:r>
      <w:r w:rsidR="00C14F05">
        <w:t xml:space="preserve"> e kuhn 255</w:t>
      </w:r>
      <w:r>
        <w:t xml:space="preserve">. </w:t>
      </w:r>
    </w:p>
  </w:footnote>
  <w:footnote w:id="42">
    <w:p w14:paraId="1D95BF4F" w14:textId="27E8B58E" w:rsidR="003D24B9" w:rsidRPr="003D24B9" w:rsidRDefault="003D24B9">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43">
    <w:p w14:paraId="56B4A861" w14:textId="77777777" w:rsidR="00337D76" w:rsidRDefault="00337D76"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44">
    <w:p w14:paraId="03FFF344" w14:textId="39D020F7" w:rsidR="00A6193D" w:rsidRDefault="00A6193D"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45">
    <w:p w14:paraId="448403E1" w14:textId="4080796E" w:rsidR="00337D76" w:rsidRDefault="00337D76">
      <w:pPr>
        <w:pStyle w:val="Testonotaapidipagina"/>
      </w:pPr>
      <w:r>
        <w:rPr>
          <w:rStyle w:val="Rimandonotaapidipagina"/>
        </w:rPr>
        <w:footnoteRef/>
      </w:r>
      <w:r>
        <w:t xml:space="preserve"> </w:t>
      </w:r>
      <w:r w:rsidR="00B5725D">
        <w:t>in sta</w:t>
      </w:r>
      <w:r>
        <w:t>tistica bayesiana la probabilità a posteriori.</w:t>
      </w:r>
    </w:p>
  </w:footnote>
  <w:footnote w:id="46">
    <w:p w14:paraId="4D9F98FA" w14:textId="1D647B22" w:rsidR="00C807E9" w:rsidRDefault="00C807E9">
      <w:pPr>
        <w:pStyle w:val="Testonotaapidipagina"/>
      </w:pPr>
      <w:r>
        <w:rPr>
          <w:rStyle w:val="Rimandonotaapidipagina"/>
        </w:rPr>
        <w:footnoteRef/>
      </w:r>
      <w:r>
        <w:t xml:space="preserve"> Statinf 19.</w:t>
      </w:r>
    </w:p>
  </w:footnote>
  <w:footnote w:id="47">
    <w:p w14:paraId="53D0026B" w14:textId="41945D4C" w:rsidR="00306BEB" w:rsidRDefault="00306BEB">
      <w:pPr>
        <w:pStyle w:val="Testonotaapidipagina"/>
      </w:pPr>
      <w:r>
        <w:rPr>
          <w:rStyle w:val="Rimandonotaapidipagina"/>
        </w:rPr>
        <w:footnoteRef/>
      </w:r>
      <w:r>
        <w:t xml:space="preserve"> Per il concetto di odds e odds ratio si rimanda al capitolo II</w:t>
      </w:r>
    </w:p>
  </w:footnote>
  <w:footnote w:id="48">
    <w:p w14:paraId="55E19589" w14:textId="1CE21E0C" w:rsidR="00F133F8" w:rsidRDefault="00F133F8">
      <w:pPr>
        <w:pStyle w:val="Testonotaapidipagina"/>
      </w:pPr>
      <w:r>
        <w:rPr>
          <w:rStyle w:val="Rimandonotaapidipagina"/>
        </w:rPr>
        <w:footnoteRef/>
      </w:r>
      <w:r>
        <w:t xml:space="preserve"> caffo statinf 19</w:t>
      </w:r>
    </w:p>
  </w:footnote>
  <w:footnote w:id="49">
    <w:p w14:paraId="57A730D8" w14:textId="41B7784B" w:rsidR="00B558BB" w:rsidRDefault="00B558BB">
      <w:pPr>
        <w:pStyle w:val="Testonotaapidipagina"/>
      </w:pPr>
      <w:r>
        <w:rPr>
          <w:rStyle w:val="Rimandonotaapidipagina"/>
        </w:rPr>
        <w:footnoteRef/>
      </w:r>
      <w:r w:rsidRPr="00B558BB">
        <w:t>http://ebp.uga.edu/courses/Chapter%204%20-%20Diagnosis%20I/6%20-%20Likelihood%20ratios.html</w:t>
      </w:r>
    </w:p>
  </w:footnote>
  <w:footnote w:id="50">
    <w:p w14:paraId="4D0CE50C" w14:textId="1DC38E19" w:rsidR="001F2C49" w:rsidRPr="001F2C49" w:rsidRDefault="001F2C49">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w:t>
      </w:r>
      <w:r w:rsidR="00D40BB7">
        <w:t>in rapporto le due grandezze, cfr. kuhn p. 258</w:t>
      </w:r>
    </w:p>
  </w:footnote>
  <w:footnote w:id="51">
    <w:p w14:paraId="28D44AB2" w14:textId="32530218" w:rsidR="00616BFE" w:rsidRDefault="00616BFE"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52">
    <w:p w14:paraId="1B703EFB" w14:textId="3A74B67E" w:rsidR="00616BFE" w:rsidRDefault="00616BFE"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53">
    <w:p w14:paraId="2041BE9A" w14:textId="528C59E7" w:rsidR="00616BFE" w:rsidRDefault="00616BFE" w:rsidP="00AA1D03">
      <w:pPr>
        <w:pStyle w:val="Paragrafoelenco"/>
      </w:pPr>
      <w:r>
        <w:rPr>
          <w:rStyle w:val="Rimandonotaapidipagina"/>
        </w:rPr>
        <w:footnoteRef/>
      </w:r>
      <w:r>
        <w:t xml:space="preserve"> </w:t>
      </w:r>
      <w:r w:rsidRPr="004A12C2">
        <w:rPr>
          <w:i/>
        </w:rPr>
        <w:t>Ivi</w:t>
      </w:r>
      <w:r>
        <w:t>, p.5.</w:t>
      </w:r>
    </w:p>
  </w:footnote>
  <w:footnote w:id="54">
    <w:p w14:paraId="6CCCD1DF" w14:textId="5EAAE11C" w:rsidR="00616BFE" w:rsidRDefault="00616BFE" w:rsidP="00AA1D03">
      <w:pPr>
        <w:pStyle w:val="Paragrafoelenco"/>
      </w:pPr>
      <w:r>
        <w:rPr>
          <w:rStyle w:val="Rimandonotaapidipagina"/>
        </w:rPr>
        <w:footnoteRef/>
      </w:r>
      <w:r>
        <w:t xml:space="preserve"> </w:t>
      </w:r>
      <w:r w:rsidRPr="004A12C2">
        <w:rPr>
          <w:i/>
        </w:rPr>
        <w:t>Ivi</w:t>
      </w:r>
      <w:r>
        <w:t>, p.3</w:t>
      </w:r>
    </w:p>
  </w:footnote>
  <w:footnote w:id="55">
    <w:p w14:paraId="63F736C6" w14:textId="2FAFFDDB" w:rsidR="00616BFE" w:rsidRDefault="00616BFE"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56">
    <w:p w14:paraId="460E6325" w14:textId="351CB0BE" w:rsidR="00616BFE" w:rsidRDefault="00616BFE"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57">
    <w:p w14:paraId="239DFB58" w14:textId="7EDA7428" w:rsidR="00616BFE" w:rsidRDefault="00616BFE"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58">
    <w:p w14:paraId="470F6686" w14:textId="2765FB4B" w:rsidR="00616BFE" w:rsidRDefault="00616BFE" w:rsidP="00AA1D03">
      <w:pPr>
        <w:pStyle w:val="Paragrafoelenco"/>
      </w:pPr>
      <w:r>
        <w:rPr>
          <w:rStyle w:val="Rimandonotaapidipagina"/>
        </w:rPr>
        <w:footnoteRef/>
      </w:r>
      <w:r>
        <w:t xml:space="preserve"> KLEINBAUM D – KLEIN MITCHEL, </w:t>
      </w:r>
      <w:r w:rsidRPr="00185BF2">
        <w:rPr>
          <w:i/>
        </w:rPr>
        <w:t>Op. cit</w:t>
      </w:r>
      <w:r>
        <w:t>, p. 18.</w:t>
      </w:r>
    </w:p>
  </w:footnote>
  <w:footnote w:id="59">
    <w:p w14:paraId="0424398A" w14:textId="51EF5CC9" w:rsidR="00616BFE" w:rsidRDefault="00616BFE"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60">
    <w:p w14:paraId="267CA388" w14:textId="6EFF893A" w:rsidR="00616BFE" w:rsidRPr="005734ED"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61">
    <w:p w14:paraId="7BF73419" w14:textId="05D116A9" w:rsidR="00616BFE" w:rsidRDefault="00616BFE"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62">
    <w:p w14:paraId="14D3C558" w14:textId="373C20B2" w:rsidR="00616BFE" w:rsidRPr="00DE4F9F" w:rsidRDefault="00616BFE"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616BFE" w:rsidRDefault="00616BFE">
      <w:pPr>
        <w:pStyle w:val="Testonotaapidipagina"/>
      </w:pPr>
    </w:p>
  </w:footnote>
  <w:footnote w:id="63">
    <w:p w14:paraId="7186041E" w14:textId="11B98C20" w:rsidR="00616BFE" w:rsidRDefault="00616BFE"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64">
    <w:p w14:paraId="4811A4E2" w14:textId="4D9AB7AE" w:rsidR="00616BFE" w:rsidRDefault="00616BFE" w:rsidP="00776AD8">
      <w:pPr>
        <w:pStyle w:val="Paragrafoelenco"/>
      </w:pPr>
      <w:r>
        <w:rPr>
          <w:rStyle w:val="Rimandonotaapidipagina"/>
        </w:rPr>
        <w:footnoteRef/>
      </w:r>
      <w:r>
        <w:t xml:space="preserve"> CAFFO B., </w:t>
      </w:r>
      <w:r>
        <w:rPr>
          <w:i/>
        </w:rPr>
        <w:t>Statistical inference for data science</w:t>
      </w:r>
      <w:r>
        <w:t>, Baltimore, 2015, p. 79 ss.</w:t>
      </w:r>
    </w:p>
  </w:footnote>
  <w:footnote w:id="65">
    <w:p w14:paraId="592F2B7C" w14:textId="65B12DE1" w:rsidR="00616BFE" w:rsidRDefault="00616BFE" w:rsidP="00776AD8">
      <w:pPr>
        <w:pStyle w:val="Paragrafoelenco"/>
      </w:pPr>
      <w:r>
        <w:rPr>
          <w:rStyle w:val="Rimandonotaapidipagina"/>
        </w:rPr>
        <w:footnoteRef/>
      </w:r>
      <w:r>
        <w:t xml:space="preserve"> Cfr KLEINBAUM D – KLEIN MITCHEL, </w:t>
      </w:r>
      <w:r w:rsidRPr="00185BF2">
        <w:rPr>
          <w:i/>
        </w:rPr>
        <w:t>Op. cit</w:t>
      </w:r>
      <w:r>
        <w:t>, p. 135.</w:t>
      </w:r>
    </w:p>
  </w:footnote>
  <w:footnote w:id="66">
    <w:p w14:paraId="70E8FB57" w14:textId="3DF9B188" w:rsidR="00616BFE" w:rsidRPr="005734ED" w:rsidRDefault="00616BFE"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616BFE" w:rsidRDefault="00616BFE">
      <w:pPr>
        <w:pStyle w:val="Testonotaapidipagina"/>
      </w:pPr>
    </w:p>
  </w:footnote>
  <w:footnote w:id="67">
    <w:p w14:paraId="479443A7" w14:textId="78FD1504"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68">
    <w:p w14:paraId="25A054AC" w14:textId="3C1BABA0" w:rsidR="00616BFE" w:rsidRDefault="00616BFE" w:rsidP="00776AD8">
      <w:pPr>
        <w:pStyle w:val="Paragrafoelenco"/>
      </w:pPr>
      <w:r>
        <w:rPr>
          <w:rStyle w:val="Rimandonotaapidipagina"/>
        </w:rPr>
        <w:footnoteRef/>
      </w:r>
      <w:r>
        <w:t xml:space="preserve"> KLEINBAUM D – KLEIN MITCHEL, </w:t>
      </w:r>
      <w:r w:rsidRPr="00185BF2">
        <w:rPr>
          <w:i/>
        </w:rPr>
        <w:t>Op. cit</w:t>
      </w:r>
      <w:r>
        <w:t>, p. 139.</w:t>
      </w:r>
    </w:p>
  </w:footnote>
  <w:footnote w:id="69">
    <w:p w14:paraId="6C62D347" w14:textId="2E797B69" w:rsidR="00616BFE" w:rsidRDefault="00616BFE"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70">
    <w:p w14:paraId="6B9DCD7C" w14:textId="25EC0FAE" w:rsidR="00616BFE" w:rsidRPr="00323D8B" w:rsidRDefault="00616BFE" w:rsidP="00776AD8">
      <w:pPr>
        <w:pStyle w:val="Paragrafoelenco"/>
      </w:pPr>
      <w:r>
        <w:rPr>
          <w:rStyle w:val="Rimandonotaapidipagina"/>
        </w:rPr>
        <w:footnoteRef/>
      </w:r>
      <w:r>
        <w:t xml:space="preserve"> KLEINBAUM D – KLEIN MITCHEL, </w:t>
      </w:r>
      <w:r w:rsidRPr="00185BF2">
        <w:t>Op. cit</w:t>
      </w:r>
      <w:r>
        <w:t>, p. 280.</w:t>
      </w:r>
    </w:p>
  </w:footnote>
  <w:footnote w:id="71">
    <w:p w14:paraId="56740E53" w14:textId="7D24EBE4" w:rsidR="00616BFE" w:rsidRDefault="00616BFE" w:rsidP="00776AD8">
      <w:pPr>
        <w:pStyle w:val="Paragrafoelenco"/>
      </w:pPr>
      <w:r>
        <w:rPr>
          <w:rStyle w:val="Rimandonotaapidipagina"/>
        </w:rPr>
        <w:footnoteRef/>
      </w:r>
      <w:r>
        <w:t xml:space="preserve"> </w:t>
      </w:r>
      <w:r w:rsidRPr="00323D8B">
        <w:t>Ibidem</w:t>
      </w:r>
      <w:r>
        <w:t>.</w:t>
      </w:r>
    </w:p>
  </w:footnote>
  <w:footnote w:id="72">
    <w:p w14:paraId="2054DE91" w14:textId="1E8B3742" w:rsidR="00616BFE" w:rsidRDefault="00616BFE"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73">
    <w:p w14:paraId="3F19350A" w14:textId="5005D655" w:rsidR="00616BFE" w:rsidRDefault="00616BFE"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74">
    <w:p w14:paraId="3C429483" w14:textId="775AC0C5" w:rsidR="00616BFE" w:rsidRPr="000D123A" w:rsidRDefault="00616BFE"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75">
    <w:p w14:paraId="3133CC99" w14:textId="7C34CC7F" w:rsidR="00616BFE" w:rsidRDefault="00616BFE"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76">
    <w:p w14:paraId="498121B9" w14:textId="3C8708E7" w:rsidR="00616BFE" w:rsidRDefault="00616BFE" w:rsidP="00776AD8">
      <w:pPr>
        <w:pStyle w:val="Paragrafoelenco"/>
      </w:pPr>
      <w:r>
        <w:rPr>
          <w:rStyle w:val="Rimandonotaapidipagina"/>
        </w:rPr>
        <w:footnoteRef/>
      </w:r>
      <w:r>
        <w:t xml:space="preserve"> </w:t>
      </w:r>
      <w:r w:rsidRPr="000D123A">
        <w:rPr>
          <w:color w:val="FF0000"/>
        </w:rPr>
        <w:t xml:space="preserve">Vedi paragrafo </w:t>
      </w:r>
      <w:r>
        <w:t>.</w:t>
      </w:r>
    </w:p>
  </w:footnote>
  <w:footnote w:id="77">
    <w:p w14:paraId="30761DDE" w14:textId="36B200BE"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78">
    <w:p w14:paraId="1AE4026A" w14:textId="5E7CB2F6" w:rsidR="00616BFE" w:rsidRDefault="00616BFE"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79">
    <w:p w14:paraId="3D1CD39F" w14:textId="52952E40" w:rsidR="00616BFE" w:rsidRPr="007C20E8" w:rsidRDefault="00616BFE"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80">
    <w:p w14:paraId="1831EB19" w14:textId="18B47D23" w:rsidR="00616BFE" w:rsidRDefault="00616BFE" w:rsidP="00DD293D">
      <w:pPr>
        <w:pStyle w:val="Paragrafoelenco"/>
      </w:pPr>
      <w:r>
        <w:rPr>
          <w:rStyle w:val="Rimandonotaapidipagina"/>
        </w:rPr>
        <w:footnoteRef/>
      </w:r>
      <w:r>
        <w:t xml:space="preserve"> Cfr. KLEINBAUM D – KLEIN MITCHEL, </w:t>
      </w:r>
      <w:r w:rsidRPr="00185BF2">
        <w:rPr>
          <w:i/>
        </w:rPr>
        <w:t>Op. cit</w:t>
      </w:r>
      <w:r>
        <w:t>, p. 305 ss.</w:t>
      </w:r>
    </w:p>
  </w:footnote>
  <w:footnote w:id="81">
    <w:p w14:paraId="034E10AE" w14:textId="616A06B8" w:rsidR="00616BFE" w:rsidRDefault="00616BFE" w:rsidP="00DD293D">
      <w:pPr>
        <w:pStyle w:val="Paragrafoelenco"/>
      </w:pPr>
      <w:r>
        <w:rPr>
          <w:rStyle w:val="Rimandonotaapidipagina"/>
        </w:rPr>
        <w:footnoteRef/>
      </w:r>
      <w:r>
        <w:t xml:space="preserve"> HOSMER D. – LEMESHOW S., </w:t>
      </w:r>
      <w:r>
        <w:rPr>
          <w:i/>
        </w:rPr>
        <w:t>Op. cit.</w:t>
      </w:r>
      <w:r>
        <w:t>, par. 5.2.1.</w:t>
      </w:r>
    </w:p>
  </w:footnote>
  <w:footnote w:id="82">
    <w:p w14:paraId="30A46383" w14:textId="469BF799"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83">
    <w:p w14:paraId="0791AA3B" w14:textId="1BD84C00" w:rsidR="00616BFE" w:rsidRDefault="00616BFE"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84">
    <w:p w14:paraId="507D01DE" w14:textId="2F7F6D97"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85">
    <w:p w14:paraId="1F83E4A1" w14:textId="36CE8C9F" w:rsidR="00616BFE" w:rsidRDefault="00616BFE"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86">
    <w:p w14:paraId="3CC384D0" w14:textId="2A923169" w:rsidR="00616BFE" w:rsidRDefault="00616BFE"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87">
    <w:p w14:paraId="2B90C02A" w14:textId="516169A5" w:rsidR="00616BFE" w:rsidRPr="00A75BCB" w:rsidRDefault="00616BFE"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88">
    <w:p w14:paraId="320E9C97" w14:textId="0F7590E4" w:rsidR="00616BFE" w:rsidRDefault="00616BFE"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89">
    <w:p w14:paraId="060A416A" w14:textId="166522E2" w:rsidR="00616BFE" w:rsidRDefault="00616BFE" w:rsidP="00731B85">
      <w:pPr>
        <w:pStyle w:val="Paragrafoelenco"/>
      </w:pPr>
      <w:r>
        <w:rPr>
          <w:rStyle w:val="Rimandonotaapidipagina"/>
        </w:rPr>
        <w:footnoteRef/>
      </w:r>
      <w:r>
        <w:t xml:space="preserve"> KLEINBAUM D – KLEIN MITCHEL, </w:t>
      </w:r>
      <w:r w:rsidRPr="00185BF2">
        <w:rPr>
          <w:i/>
        </w:rPr>
        <w:t>Op. cit</w:t>
      </w:r>
      <w:r>
        <w:t>, p 244 ss.</w:t>
      </w:r>
    </w:p>
  </w:footnote>
  <w:footnote w:id="90">
    <w:p w14:paraId="01FBE11B" w14:textId="2206490C" w:rsidR="00616BFE" w:rsidRDefault="00616BFE"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91">
    <w:p w14:paraId="6EF5E815" w14:textId="54DA5219" w:rsidR="00616BFE" w:rsidRDefault="00616BFE"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92">
    <w:p w14:paraId="05BA40A0" w14:textId="0D1BDA40" w:rsidR="00616BFE" w:rsidRPr="00951910" w:rsidRDefault="00616BFE" w:rsidP="00161324">
      <w:pPr>
        <w:pStyle w:val="Paragrafoelenco"/>
      </w:pPr>
      <w:r>
        <w:rPr>
          <w:rStyle w:val="Rimandonotaapidipagina"/>
        </w:rPr>
        <w:footnoteRef/>
      </w:r>
      <w:r>
        <w:t xml:space="preserve">Cfr. CURINI L., </w:t>
      </w:r>
      <w:r w:rsidRPr="00951910">
        <w:rPr>
          <w:i/>
        </w:rPr>
        <w:t>Op. cit.</w:t>
      </w:r>
      <w:r>
        <w:t>, p. 4.</w:t>
      </w:r>
    </w:p>
  </w:footnote>
  <w:footnote w:id="93">
    <w:p w14:paraId="22521330" w14:textId="4B6825BA" w:rsidR="00616BFE" w:rsidRDefault="00616BFE"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94">
    <w:p w14:paraId="508A46E9" w14:textId="09BE61A4" w:rsidR="00616BFE" w:rsidRDefault="00616BFE"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95">
    <w:p w14:paraId="031E4430" w14:textId="070DD7FB" w:rsidR="00616BFE" w:rsidRPr="00CF7CE4" w:rsidRDefault="00616BFE"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96">
    <w:p w14:paraId="35C1A050" w14:textId="11DBA559" w:rsidR="00616BFE" w:rsidRPr="00362464" w:rsidRDefault="00616BFE" w:rsidP="00CE4F3A">
      <w:pPr>
        <w:pStyle w:val="Paragrafoelenco"/>
      </w:pPr>
      <w:r>
        <w:rPr>
          <w:rStyle w:val="Rimandonotaapidipagina"/>
        </w:rPr>
        <w:footnoteRef/>
      </w:r>
      <w:r>
        <w:t xml:space="preserve"> CAFFO B., </w:t>
      </w:r>
      <w:r w:rsidRPr="0031433B">
        <w:t>Regression models for data science in R</w:t>
      </w:r>
      <w:r>
        <w:t>, cit., pp. 96-97.</w:t>
      </w:r>
    </w:p>
  </w:footnote>
  <w:footnote w:id="97">
    <w:p w14:paraId="7F174503" w14:textId="35D17866" w:rsidR="00616BFE" w:rsidRDefault="00616BFE" w:rsidP="00CE4F3A">
      <w:pPr>
        <w:pStyle w:val="Paragrafoelenco"/>
      </w:pPr>
      <w:r>
        <w:rPr>
          <w:rStyle w:val="Rimandonotaapidipagina"/>
        </w:rPr>
        <w:footnoteRef/>
      </w:r>
      <w:r>
        <w:t xml:space="preserve"> KLEINBAUM D – KLEIN MITCHEL, </w:t>
      </w:r>
      <w:r w:rsidRPr="00C7386D">
        <w:t>Op. cit.</w:t>
      </w:r>
      <w:r>
        <w:t>, p. 271.</w:t>
      </w:r>
    </w:p>
  </w:footnote>
  <w:footnote w:id="98">
    <w:p w14:paraId="64E4B11D" w14:textId="27050A80" w:rsidR="00616BFE" w:rsidRDefault="00616BFE" w:rsidP="00CE4F3A">
      <w:pPr>
        <w:pStyle w:val="Paragrafoelenco"/>
      </w:pPr>
      <w:r>
        <w:rPr>
          <w:rStyle w:val="Rimandonotaapidipagina"/>
        </w:rPr>
        <w:footnoteRef/>
      </w:r>
      <w:r>
        <w:t xml:space="preserve"> PARDOE I., COOK D., </w:t>
      </w:r>
      <w:r w:rsidRPr="00362464">
        <w:t>Op. cit.</w:t>
      </w:r>
      <w:r>
        <w:t>, p1.</w:t>
      </w:r>
    </w:p>
  </w:footnote>
  <w:footnote w:id="99">
    <w:p w14:paraId="4CE6A653" w14:textId="4B0BD239" w:rsidR="00616BFE" w:rsidRDefault="00616BFE" w:rsidP="003E3F07">
      <w:pPr>
        <w:pStyle w:val="Paragrafoelenco"/>
      </w:pPr>
      <w:r>
        <w:rPr>
          <w:rStyle w:val="Rimandonotaapidipagina"/>
        </w:rPr>
        <w:footnoteRef/>
      </w:r>
      <w:r>
        <w:t xml:space="preserve"> KLEINBAUM D – KLEIN MITCHEL, </w:t>
      </w:r>
      <w:r w:rsidRPr="00C7386D">
        <w:rPr>
          <w:i/>
        </w:rPr>
        <w:t>Op. cit.</w:t>
      </w:r>
      <w:r>
        <w:t>, p. 271.</w:t>
      </w:r>
    </w:p>
  </w:footnote>
  <w:footnote w:id="100">
    <w:p w14:paraId="2FEAAD67" w14:textId="4A79750E" w:rsidR="00616BFE" w:rsidRDefault="00616BFE" w:rsidP="003E3F07">
      <w:pPr>
        <w:pStyle w:val="Paragrafoelenco"/>
      </w:pPr>
      <w:r>
        <w:rPr>
          <w:rStyle w:val="Rimandonotaapidipagina"/>
        </w:rPr>
        <w:footnoteRef/>
      </w:r>
      <w:r>
        <w:t xml:space="preserve"> </w:t>
      </w:r>
      <w:r w:rsidRPr="00362464">
        <w:rPr>
          <w:i/>
        </w:rPr>
        <w:t>Ivi</w:t>
      </w:r>
      <w:r>
        <w:t>, p. 273.</w:t>
      </w:r>
    </w:p>
  </w:footnote>
  <w:footnote w:id="101">
    <w:p w14:paraId="325FC820" w14:textId="24798C40" w:rsidR="00616BFE" w:rsidRDefault="00616BFE" w:rsidP="003E3F07">
      <w:pPr>
        <w:pStyle w:val="Paragrafoelenco"/>
      </w:pPr>
      <w:r>
        <w:rPr>
          <w:rStyle w:val="Rimandonotaapidipagina"/>
        </w:rPr>
        <w:footnoteRef/>
      </w:r>
      <w:r>
        <w:t xml:space="preserve"> CURINI L., </w:t>
      </w:r>
      <w:r w:rsidRPr="00951910">
        <w:rPr>
          <w:i/>
        </w:rPr>
        <w:t>Op. cit.</w:t>
      </w:r>
      <w:r>
        <w:t>, p. 5.</w:t>
      </w:r>
    </w:p>
  </w:footnote>
  <w:footnote w:id="102">
    <w:p w14:paraId="4D085306" w14:textId="68592EEA" w:rsidR="00616BFE" w:rsidRDefault="00616BFE" w:rsidP="003E3F07">
      <w:pPr>
        <w:pStyle w:val="Paragrafoelenco"/>
      </w:pPr>
      <w:r>
        <w:rPr>
          <w:rStyle w:val="Rimandonotaapidipagina"/>
        </w:rPr>
        <w:footnoteRef/>
      </w:r>
      <w:r>
        <w:t xml:space="preserve"> Il dataset utilizzato nel capitolo 3 contiene molte variabili quantitative.</w:t>
      </w:r>
    </w:p>
  </w:footnote>
  <w:footnote w:id="103">
    <w:p w14:paraId="357B882A" w14:textId="4B3CE965" w:rsidR="00616BFE" w:rsidRDefault="00616BFE" w:rsidP="003E3F07">
      <w:pPr>
        <w:pStyle w:val="Paragrafoelenco"/>
      </w:pPr>
      <w:r>
        <w:rPr>
          <w:rStyle w:val="Rimandonotaapidipagina"/>
        </w:rPr>
        <w:footnoteRef/>
      </w:r>
      <w:r>
        <w:t xml:space="preserve"> KLEINBAUM D – KLEIN MITCHEL, </w:t>
      </w:r>
      <w:r w:rsidRPr="00C7386D">
        <w:rPr>
          <w:i/>
        </w:rPr>
        <w:t>Op. cit.</w:t>
      </w:r>
      <w:r>
        <w:t>, p. 275.</w:t>
      </w:r>
    </w:p>
  </w:footnote>
  <w:footnote w:id="104">
    <w:p w14:paraId="1E718B23" w14:textId="2915EAC2" w:rsidR="00616BFE" w:rsidRDefault="00616BFE"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105">
    <w:p w14:paraId="7EFF3206" w14:textId="0E32BD98" w:rsidR="00616BFE" w:rsidRDefault="00616BFE"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97D4A"/>
    <w:rsid w:val="000A103A"/>
    <w:rsid w:val="000A6855"/>
    <w:rsid w:val="000B35AF"/>
    <w:rsid w:val="000C0752"/>
    <w:rsid w:val="000C3A7F"/>
    <w:rsid w:val="000D123A"/>
    <w:rsid w:val="000D1A2E"/>
    <w:rsid w:val="000D3357"/>
    <w:rsid w:val="000D43B2"/>
    <w:rsid w:val="000D5F27"/>
    <w:rsid w:val="000E0214"/>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525EB"/>
    <w:rsid w:val="0015287D"/>
    <w:rsid w:val="00161324"/>
    <w:rsid w:val="00162486"/>
    <w:rsid w:val="00163BD9"/>
    <w:rsid w:val="0016600B"/>
    <w:rsid w:val="00176688"/>
    <w:rsid w:val="00176E31"/>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7F00"/>
    <w:rsid w:val="002126F2"/>
    <w:rsid w:val="00213B15"/>
    <w:rsid w:val="00215F8A"/>
    <w:rsid w:val="002259EA"/>
    <w:rsid w:val="00225DB4"/>
    <w:rsid w:val="00226066"/>
    <w:rsid w:val="00244DB2"/>
    <w:rsid w:val="00256AA5"/>
    <w:rsid w:val="002577BB"/>
    <w:rsid w:val="00263D69"/>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6BEB"/>
    <w:rsid w:val="00311E40"/>
    <w:rsid w:val="003158AE"/>
    <w:rsid w:val="00316120"/>
    <w:rsid w:val="00323D8B"/>
    <w:rsid w:val="00326606"/>
    <w:rsid w:val="00327D4E"/>
    <w:rsid w:val="00327FE3"/>
    <w:rsid w:val="003359B9"/>
    <w:rsid w:val="00337768"/>
    <w:rsid w:val="00337D76"/>
    <w:rsid w:val="003436F7"/>
    <w:rsid w:val="00344E78"/>
    <w:rsid w:val="00345BCC"/>
    <w:rsid w:val="00352714"/>
    <w:rsid w:val="0035529A"/>
    <w:rsid w:val="00362464"/>
    <w:rsid w:val="00363640"/>
    <w:rsid w:val="00363CC6"/>
    <w:rsid w:val="00377DB6"/>
    <w:rsid w:val="003805FC"/>
    <w:rsid w:val="00384355"/>
    <w:rsid w:val="00391ECD"/>
    <w:rsid w:val="00396EC4"/>
    <w:rsid w:val="003B08CA"/>
    <w:rsid w:val="003C202C"/>
    <w:rsid w:val="003C32D9"/>
    <w:rsid w:val="003D24B9"/>
    <w:rsid w:val="003D6A79"/>
    <w:rsid w:val="003D6BA0"/>
    <w:rsid w:val="003D74A0"/>
    <w:rsid w:val="003E3F07"/>
    <w:rsid w:val="003E4011"/>
    <w:rsid w:val="003F0096"/>
    <w:rsid w:val="003F1E56"/>
    <w:rsid w:val="003F3841"/>
    <w:rsid w:val="0040409C"/>
    <w:rsid w:val="0040447E"/>
    <w:rsid w:val="00405E2F"/>
    <w:rsid w:val="00407514"/>
    <w:rsid w:val="004108B8"/>
    <w:rsid w:val="00411A5F"/>
    <w:rsid w:val="00414C86"/>
    <w:rsid w:val="00416873"/>
    <w:rsid w:val="00424F16"/>
    <w:rsid w:val="00425719"/>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B04"/>
    <w:rsid w:val="0048774A"/>
    <w:rsid w:val="00491D9F"/>
    <w:rsid w:val="00493082"/>
    <w:rsid w:val="0049709A"/>
    <w:rsid w:val="004A12C2"/>
    <w:rsid w:val="004A2177"/>
    <w:rsid w:val="004A5E7B"/>
    <w:rsid w:val="004B2260"/>
    <w:rsid w:val="004B3025"/>
    <w:rsid w:val="004B383B"/>
    <w:rsid w:val="004C039F"/>
    <w:rsid w:val="004C3BD5"/>
    <w:rsid w:val="004C49B8"/>
    <w:rsid w:val="004D0601"/>
    <w:rsid w:val="004D1EB6"/>
    <w:rsid w:val="004D5825"/>
    <w:rsid w:val="004E1B44"/>
    <w:rsid w:val="004E6BF1"/>
    <w:rsid w:val="004E72C8"/>
    <w:rsid w:val="004E7D97"/>
    <w:rsid w:val="004F1561"/>
    <w:rsid w:val="004F2815"/>
    <w:rsid w:val="004F47E5"/>
    <w:rsid w:val="004F5E26"/>
    <w:rsid w:val="00511D05"/>
    <w:rsid w:val="005172C5"/>
    <w:rsid w:val="0051731B"/>
    <w:rsid w:val="005177D7"/>
    <w:rsid w:val="00536B13"/>
    <w:rsid w:val="0055443E"/>
    <w:rsid w:val="00554A20"/>
    <w:rsid w:val="00556FA6"/>
    <w:rsid w:val="00557E34"/>
    <w:rsid w:val="00560AB7"/>
    <w:rsid w:val="00562A5A"/>
    <w:rsid w:val="00571328"/>
    <w:rsid w:val="00572BCD"/>
    <w:rsid w:val="00572E54"/>
    <w:rsid w:val="005732DC"/>
    <w:rsid w:val="005734ED"/>
    <w:rsid w:val="00581A4A"/>
    <w:rsid w:val="005B4180"/>
    <w:rsid w:val="005B7F38"/>
    <w:rsid w:val="005C0B21"/>
    <w:rsid w:val="005C44BF"/>
    <w:rsid w:val="005C56A1"/>
    <w:rsid w:val="005D068F"/>
    <w:rsid w:val="005D45C1"/>
    <w:rsid w:val="005E1CCC"/>
    <w:rsid w:val="005E2FAA"/>
    <w:rsid w:val="005E3279"/>
    <w:rsid w:val="005F27F6"/>
    <w:rsid w:val="005F3B42"/>
    <w:rsid w:val="005F3FA8"/>
    <w:rsid w:val="00611222"/>
    <w:rsid w:val="00613372"/>
    <w:rsid w:val="00616BFE"/>
    <w:rsid w:val="006175DB"/>
    <w:rsid w:val="00630C6E"/>
    <w:rsid w:val="006320E4"/>
    <w:rsid w:val="006376B0"/>
    <w:rsid w:val="00645ABD"/>
    <w:rsid w:val="006618A1"/>
    <w:rsid w:val="0066659B"/>
    <w:rsid w:val="00667AF7"/>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7389"/>
    <w:rsid w:val="00716A47"/>
    <w:rsid w:val="00730ADA"/>
    <w:rsid w:val="00731B85"/>
    <w:rsid w:val="007343CE"/>
    <w:rsid w:val="00740B61"/>
    <w:rsid w:val="007435A9"/>
    <w:rsid w:val="007512D1"/>
    <w:rsid w:val="007600F8"/>
    <w:rsid w:val="007632ED"/>
    <w:rsid w:val="007657FD"/>
    <w:rsid w:val="00765F45"/>
    <w:rsid w:val="00766730"/>
    <w:rsid w:val="00770F8A"/>
    <w:rsid w:val="00776AD8"/>
    <w:rsid w:val="00780836"/>
    <w:rsid w:val="00781210"/>
    <w:rsid w:val="00782781"/>
    <w:rsid w:val="00796693"/>
    <w:rsid w:val="007A2B83"/>
    <w:rsid w:val="007A5190"/>
    <w:rsid w:val="007B0AA1"/>
    <w:rsid w:val="007B3A3C"/>
    <w:rsid w:val="007B4A38"/>
    <w:rsid w:val="007C20E8"/>
    <w:rsid w:val="007C4BC2"/>
    <w:rsid w:val="007C63F3"/>
    <w:rsid w:val="007C7E62"/>
    <w:rsid w:val="007F1230"/>
    <w:rsid w:val="007F2885"/>
    <w:rsid w:val="007F4185"/>
    <w:rsid w:val="00800291"/>
    <w:rsid w:val="00806778"/>
    <w:rsid w:val="00810508"/>
    <w:rsid w:val="0081651B"/>
    <w:rsid w:val="00823A1E"/>
    <w:rsid w:val="00823F1D"/>
    <w:rsid w:val="008241D5"/>
    <w:rsid w:val="008254E8"/>
    <w:rsid w:val="00825DD9"/>
    <w:rsid w:val="00833FD6"/>
    <w:rsid w:val="00837825"/>
    <w:rsid w:val="00840D5D"/>
    <w:rsid w:val="0085299E"/>
    <w:rsid w:val="00857B24"/>
    <w:rsid w:val="00864AAF"/>
    <w:rsid w:val="00867657"/>
    <w:rsid w:val="00876192"/>
    <w:rsid w:val="00876BAE"/>
    <w:rsid w:val="00876EDC"/>
    <w:rsid w:val="00877795"/>
    <w:rsid w:val="0088731B"/>
    <w:rsid w:val="0089018A"/>
    <w:rsid w:val="00893A06"/>
    <w:rsid w:val="008B0EDD"/>
    <w:rsid w:val="008C273B"/>
    <w:rsid w:val="008C5EAF"/>
    <w:rsid w:val="008C754E"/>
    <w:rsid w:val="008D0342"/>
    <w:rsid w:val="008D121D"/>
    <w:rsid w:val="008D57B8"/>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342ED"/>
    <w:rsid w:val="00934FA4"/>
    <w:rsid w:val="00942785"/>
    <w:rsid w:val="00951910"/>
    <w:rsid w:val="00952F71"/>
    <w:rsid w:val="00966AD7"/>
    <w:rsid w:val="0097350A"/>
    <w:rsid w:val="009756F9"/>
    <w:rsid w:val="00976233"/>
    <w:rsid w:val="00977EB7"/>
    <w:rsid w:val="00991460"/>
    <w:rsid w:val="0099414A"/>
    <w:rsid w:val="009A3812"/>
    <w:rsid w:val="009C2125"/>
    <w:rsid w:val="009C3618"/>
    <w:rsid w:val="009D5465"/>
    <w:rsid w:val="009E0479"/>
    <w:rsid w:val="009E04C4"/>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B0D"/>
    <w:rsid w:val="00A57E6D"/>
    <w:rsid w:val="00A615DA"/>
    <w:rsid w:val="00A6193D"/>
    <w:rsid w:val="00A64321"/>
    <w:rsid w:val="00A64AB1"/>
    <w:rsid w:val="00A71429"/>
    <w:rsid w:val="00A72BE8"/>
    <w:rsid w:val="00A756E3"/>
    <w:rsid w:val="00A75BCB"/>
    <w:rsid w:val="00A774B3"/>
    <w:rsid w:val="00A85033"/>
    <w:rsid w:val="00A85533"/>
    <w:rsid w:val="00A900D5"/>
    <w:rsid w:val="00A92DF7"/>
    <w:rsid w:val="00AA1D03"/>
    <w:rsid w:val="00AB18AF"/>
    <w:rsid w:val="00AB322A"/>
    <w:rsid w:val="00AB5D58"/>
    <w:rsid w:val="00AC0A7D"/>
    <w:rsid w:val="00AC1334"/>
    <w:rsid w:val="00AD626C"/>
    <w:rsid w:val="00AF2C34"/>
    <w:rsid w:val="00B00B49"/>
    <w:rsid w:val="00B00C40"/>
    <w:rsid w:val="00B028D9"/>
    <w:rsid w:val="00B0385A"/>
    <w:rsid w:val="00B1321B"/>
    <w:rsid w:val="00B14017"/>
    <w:rsid w:val="00B14F32"/>
    <w:rsid w:val="00B175CD"/>
    <w:rsid w:val="00B24955"/>
    <w:rsid w:val="00B25B85"/>
    <w:rsid w:val="00B27EDA"/>
    <w:rsid w:val="00B3366B"/>
    <w:rsid w:val="00B46F54"/>
    <w:rsid w:val="00B55397"/>
    <w:rsid w:val="00B558BB"/>
    <w:rsid w:val="00B5725D"/>
    <w:rsid w:val="00B6006E"/>
    <w:rsid w:val="00B61F55"/>
    <w:rsid w:val="00B7033E"/>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BB8"/>
    <w:rsid w:val="00BF0A2E"/>
    <w:rsid w:val="00C00753"/>
    <w:rsid w:val="00C11844"/>
    <w:rsid w:val="00C14F05"/>
    <w:rsid w:val="00C23740"/>
    <w:rsid w:val="00C2378E"/>
    <w:rsid w:val="00C369B6"/>
    <w:rsid w:val="00C408EA"/>
    <w:rsid w:val="00C4384F"/>
    <w:rsid w:val="00C57BFF"/>
    <w:rsid w:val="00C60544"/>
    <w:rsid w:val="00C61EA3"/>
    <w:rsid w:val="00C637C8"/>
    <w:rsid w:val="00C65E80"/>
    <w:rsid w:val="00C6739E"/>
    <w:rsid w:val="00C7386D"/>
    <w:rsid w:val="00C74E32"/>
    <w:rsid w:val="00C807C2"/>
    <w:rsid w:val="00C807E9"/>
    <w:rsid w:val="00C81916"/>
    <w:rsid w:val="00C82670"/>
    <w:rsid w:val="00C8359C"/>
    <w:rsid w:val="00C852B5"/>
    <w:rsid w:val="00C863B8"/>
    <w:rsid w:val="00CA18C4"/>
    <w:rsid w:val="00CB3C2D"/>
    <w:rsid w:val="00CC21DA"/>
    <w:rsid w:val="00CC23A9"/>
    <w:rsid w:val="00CD1B24"/>
    <w:rsid w:val="00CD3E77"/>
    <w:rsid w:val="00CD657B"/>
    <w:rsid w:val="00CD7262"/>
    <w:rsid w:val="00CE077A"/>
    <w:rsid w:val="00CE4F3A"/>
    <w:rsid w:val="00CF2B10"/>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40BB7"/>
    <w:rsid w:val="00D5017F"/>
    <w:rsid w:val="00D64523"/>
    <w:rsid w:val="00D646CC"/>
    <w:rsid w:val="00D66520"/>
    <w:rsid w:val="00D705C5"/>
    <w:rsid w:val="00D83187"/>
    <w:rsid w:val="00D9340E"/>
    <w:rsid w:val="00D95819"/>
    <w:rsid w:val="00DA4CC4"/>
    <w:rsid w:val="00DA6170"/>
    <w:rsid w:val="00DB0B95"/>
    <w:rsid w:val="00DB3E97"/>
    <w:rsid w:val="00DC670C"/>
    <w:rsid w:val="00DC70EB"/>
    <w:rsid w:val="00DD293D"/>
    <w:rsid w:val="00DD3556"/>
    <w:rsid w:val="00DD3D64"/>
    <w:rsid w:val="00DD66E6"/>
    <w:rsid w:val="00DE0B47"/>
    <w:rsid w:val="00DE4F9F"/>
    <w:rsid w:val="00DE5851"/>
    <w:rsid w:val="00E03836"/>
    <w:rsid w:val="00E041BF"/>
    <w:rsid w:val="00E14AF6"/>
    <w:rsid w:val="00E16999"/>
    <w:rsid w:val="00E22B1B"/>
    <w:rsid w:val="00E272E8"/>
    <w:rsid w:val="00E363E7"/>
    <w:rsid w:val="00E44734"/>
    <w:rsid w:val="00E46CD3"/>
    <w:rsid w:val="00E4744F"/>
    <w:rsid w:val="00E51408"/>
    <w:rsid w:val="00E51A3D"/>
    <w:rsid w:val="00E531A6"/>
    <w:rsid w:val="00E62C52"/>
    <w:rsid w:val="00E67DC3"/>
    <w:rsid w:val="00E7653F"/>
    <w:rsid w:val="00E76D1B"/>
    <w:rsid w:val="00E80E73"/>
    <w:rsid w:val="00E81EAC"/>
    <w:rsid w:val="00E87BBF"/>
    <w:rsid w:val="00E909FD"/>
    <w:rsid w:val="00E93C30"/>
    <w:rsid w:val="00EA07B4"/>
    <w:rsid w:val="00EA3502"/>
    <w:rsid w:val="00EC1AB0"/>
    <w:rsid w:val="00EC26CE"/>
    <w:rsid w:val="00ED12EF"/>
    <w:rsid w:val="00ED327C"/>
    <w:rsid w:val="00ED392D"/>
    <w:rsid w:val="00ED62DC"/>
    <w:rsid w:val="00EE689C"/>
    <w:rsid w:val="00EF18EF"/>
    <w:rsid w:val="00EF2C05"/>
    <w:rsid w:val="00EF37B4"/>
    <w:rsid w:val="00EF3EF8"/>
    <w:rsid w:val="00EF60A7"/>
    <w:rsid w:val="00EF71FE"/>
    <w:rsid w:val="00F009F9"/>
    <w:rsid w:val="00F11FAF"/>
    <w:rsid w:val="00F128E6"/>
    <w:rsid w:val="00F133F8"/>
    <w:rsid w:val="00F1373D"/>
    <w:rsid w:val="00F22CE6"/>
    <w:rsid w:val="00F25604"/>
    <w:rsid w:val="00F30ECC"/>
    <w:rsid w:val="00F34D05"/>
    <w:rsid w:val="00F413CA"/>
    <w:rsid w:val="00F508CA"/>
    <w:rsid w:val="00F54A3D"/>
    <w:rsid w:val="00F55927"/>
    <w:rsid w:val="00F55A83"/>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D2036"/>
    <w:rsid w:val="00FE728F"/>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44F1E852-E7C8-414B-A77A-18489825A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43</Pages>
  <Words>8760</Words>
  <Characters>49936</Characters>
  <Application>Microsoft Macintosh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58579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144</cp:revision>
  <dcterms:created xsi:type="dcterms:W3CDTF">2016-03-08T10:35:00Z</dcterms:created>
  <dcterms:modified xsi:type="dcterms:W3CDTF">2016-03-09T11:24:00Z</dcterms:modified>
</cp:coreProperties>
</file>