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16BFE" w:rsidRPr="009510E6" w:rsidRDefault="00616BF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248C60EE"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regressori, variabili esplicative</w:t>
      </w:r>
      <w:r w:rsidR="00DA6170">
        <w:rPr>
          <w:rFonts w:eastAsiaTheme="minorEastAsia"/>
        </w:rPr>
        <w:t>, variabili di input</w:t>
      </w:r>
      <w:r>
        <w:rPr>
          <w:rFonts w:eastAsiaTheme="minorEastAsia"/>
        </w:rPr>
        <w:t>.</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2CE21629" w14:textId="763624BA" w:rsidR="0051731B" w:rsidRPr="0051731B" w:rsidRDefault="0051731B" w:rsidP="0051731B">
      <w:r>
        <w:t xml:space="preserve">Questo capitolo tratta alcuni concetti di base dell’apprendimento statistico volti a fondare </w:t>
      </w:r>
      <w:r w:rsidR="00207F00">
        <w:t>concettualmente</w:t>
      </w:r>
      <w:r w:rsidR="00CF5F65">
        <w:t xml:space="preserve"> il caso di studio del III Capitolo, che per l’appunto consiste nella creazione di un modello di </w:t>
      </w:r>
      <w:r w:rsidR="00207F00">
        <w:t xml:space="preserve">regressione logistica </w:t>
      </w:r>
      <w:r w:rsidR="00CF5F65">
        <w:t>binaria. Per questo molti temi di alto valore ma altrettanta alta complessità, legati o ad algoritmo di tipo differente (</w:t>
      </w:r>
      <w:r w:rsidR="00207F00">
        <w:t xml:space="preserve">KNN, </w:t>
      </w:r>
      <w:r w:rsidR="00CF5F65">
        <w:t>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0C1D3D3A" w14:textId="6FF813A0" w:rsidR="00391ECD" w:rsidRDefault="000F2F77" w:rsidP="008254E8">
      <w:pPr>
        <w:pStyle w:val="Titolo1"/>
        <w:numPr>
          <w:ilvl w:val="0"/>
          <w:numId w:val="11"/>
        </w:numPr>
      </w:pPr>
      <w:r>
        <w:t>Il senso dei modelli di apprendimento statistico</w:t>
      </w:r>
    </w:p>
    <w:p w14:paraId="5992CE10" w14:textId="24CFA9D7" w:rsidR="000F2F77" w:rsidRDefault="000F2F77" w:rsidP="000F2F77">
      <w:r>
        <w:t xml:space="preserve">L’apprendimento statistico (detto anche </w:t>
      </w:r>
      <w:r w:rsidRPr="000F2F77">
        <w:rPr>
          <w:i/>
        </w:rPr>
        <w:t>machine learning</w:t>
      </w:r>
      <w:r>
        <w:t xml:space="preserve">, </w:t>
      </w:r>
      <w:r w:rsidRPr="000F2F77">
        <w:rPr>
          <w:i/>
        </w:rPr>
        <w:t xml:space="preserve">predictive </w:t>
      </w:r>
      <w:r w:rsidR="00E62C52">
        <w:rPr>
          <w:i/>
        </w:rPr>
        <w:t>modeling</w:t>
      </w:r>
      <w:r>
        <w:t xml:space="preserve">, </w:t>
      </w:r>
      <w:r w:rsidRPr="000F2F77">
        <w:rPr>
          <w:i/>
        </w:rPr>
        <w:t>data mining</w:t>
      </w:r>
      <w:r>
        <w:t xml:space="preserve">) è un insieme di tecniche statistiche supportate da strumenti </w:t>
      </w:r>
      <w:r w:rsidR="00E62C52">
        <w:t xml:space="preserve">automatici </w:t>
      </w:r>
      <w:r>
        <w:t xml:space="preserve">di calcolo che </w:t>
      </w:r>
      <w:r w:rsidR="00E62C52">
        <w:t>ha</w:t>
      </w:r>
      <w:r>
        <w:t xml:space="preserve"> l’obiettivo di sviluppare modelli in grado di fornire predizioni accurate</w:t>
      </w:r>
      <w:r>
        <w:rPr>
          <w:rStyle w:val="Rimandonotaapidipagina"/>
        </w:rPr>
        <w:footnoteReference w:id="4"/>
      </w:r>
      <w:r w:rsidR="00E62C52">
        <w:t>.</w:t>
      </w:r>
    </w:p>
    <w:p w14:paraId="79E36CBE" w14:textId="77172DCC" w:rsidR="00E62C52" w:rsidRPr="000F2F77" w:rsidRDefault="00E62C52" w:rsidP="000F2F77">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 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raccolti, di di predire in futuro l’attributo prima che si debba (magari con alti costi) misurarlo. Ad esempio, una compagnia di </w:t>
      </w:r>
      <w:r w:rsidRPr="00E62C52">
        <w:rPr>
          <w:i/>
        </w:rPr>
        <w:t>e-commerce</w:t>
      </w:r>
      <w:r>
        <w:t xml:space="preserve"> che subisce frodi da parte dei suoi clienti, e che quindi può associare ad ogni unità (il cliente) un attributo (frode sì o no) può ambire ad utilizzare questi dati per poter calcolare la propensione alla frode dei futuri clienti </w:t>
      </w:r>
      <w:r w:rsidR="00A92DF7">
        <w:t>prima che essi facciano una</w:t>
      </w:r>
      <w:r>
        <w:t xml:space="preserve">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propensione ad avere</w:t>
      </w:r>
      <w:r w:rsidR="00FA1374">
        <w:t xml:space="preserve"> sinistri.</w:t>
      </w:r>
    </w:p>
    <w:p w14:paraId="3B2FD582" w14:textId="37A3F6B5" w:rsidR="000F2F77" w:rsidRDefault="000F2F77" w:rsidP="005172C5">
      <w:pPr>
        <w:pStyle w:val="Titolo1"/>
      </w:pPr>
      <w:r>
        <w:t xml:space="preserve">La stima di </w:t>
      </w:r>
      <m:oMath>
        <m:r>
          <m:rPr>
            <m:sty m:val="bi"/>
          </m:rPr>
          <w:rPr>
            <w:rFonts w:ascii="Cambria Math" w:hAnsi="Cambria Math"/>
          </w:rPr>
          <m:t>f</m:t>
        </m:r>
      </m:oMath>
      <w:r w:rsidR="00A44E7B">
        <w:rPr>
          <w:rStyle w:val="Rimandonotaapidipagina"/>
        </w:rPr>
        <w:t xml:space="preserve"> </w:t>
      </w:r>
      <w:r w:rsidR="00A44E7B">
        <w:rPr>
          <w:rStyle w:val="Rimandonotaapidipagina"/>
        </w:rPr>
        <w:footnoteReference w:id="5"/>
      </w:r>
    </w:p>
    <w:p w14:paraId="63D22E8C" w14:textId="7F3FF805" w:rsidR="00A92DF7" w:rsidRDefault="00A92DF7" w:rsidP="00A92DF7">
      <w:pPr>
        <w:rPr>
          <w:rFonts w:eastAsiaTheme="minorEastAsia"/>
        </w:rPr>
      </w:pPr>
      <w:r>
        <w:t xml:space="preserve">Il primo passo dell’apprendimento statistico è quindi quello di </w:t>
      </w:r>
      <w:bookmarkStart w:id="0"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63CB75D6" w14:textId="5DF2DF7C" w:rsidR="00A92DF7" w:rsidRDefault="00A92DF7" w:rsidP="00A92DF7">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
          </m:r>
        </m:oMath>
      </m:oMathPara>
    </w:p>
    <w:p w14:paraId="1666C27D" w14:textId="2B273D04" w:rsidR="00A92DF7" w:rsidRDefault="00A92DF7" w:rsidP="00047BC3">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w:t>
      </w:r>
      <w:r w:rsidR="00B14017">
        <w:rPr>
          <w:rFonts w:eastAsiaTheme="minorEastAsia"/>
        </w:rPr>
        <w:t xml:space="preserve">che è una componente fondamentale della funzione. Infatti il termine di errore rappresenta il contributo di variabili non misurabili ma utili a predire il fenomeno, rappresenta la variabilità non sistematica (e quindi per natura imprevedibile) di un fenomeno. Ai fini dell’apprendimento statistico, è importante assumere che il termine di errore abbia media nulla (cioè che ci si sbagli in ogni predizione, ma in maniera non sistematica, </w:t>
      </w:r>
      <w:r w:rsidR="00047BC3">
        <w:rPr>
          <w:rFonts w:eastAsiaTheme="minorEastAsia"/>
        </w:rPr>
        <w:t>come una retta di regressione che trafigge a mezza altezza una nuvola di punti</w:t>
      </w:r>
      <w:r w:rsidR="00B14017">
        <w:rPr>
          <w:rFonts w:eastAsiaTheme="minorEastAsia"/>
        </w:rPr>
        <w:t xml:space="preserve">) e che sia indipendente (non </w:t>
      </w:r>
      <w:r w:rsidR="00B14017">
        <w:rPr>
          <w:rFonts w:eastAsiaTheme="minorEastAsia"/>
        </w:rPr>
        <w:lastRenderedPageBreak/>
        <w:t>predicibile) dai predittori</w:t>
      </w:r>
      <w:r w:rsidR="00B14017">
        <w:rPr>
          <w:rStyle w:val="Rimandonotaapidipagina"/>
          <w:rFonts w:eastAsiaTheme="minorEastAsia"/>
        </w:rPr>
        <w:footnoteReference w:id="7"/>
      </w:r>
      <w:r w:rsidR="00B14017">
        <w:rPr>
          <w:rFonts w:eastAsiaTheme="minorEastAsia"/>
        </w:rPr>
        <w:t>.</w:t>
      </w:r>
      <w:r w:rsidR="00047BC3">
        <w:rPr>
          <w:rFonts w:eastAsiaTheme="minorEastAsia"/>
        </w:rPr>
        <w:t xml:space="preserve"> Questi ultimi infatti rappresentano e spiegano la variabilità sistematica del fenomeno, e non dovrebbero essere associati a quella non sistematica. Dato questo, il rapporto tra variabile indipendente e variabili dipendenti si può riscrivere come:</w:t>
      </w:r>
    </w:p>
    <w:p w14:paraId="0F0EB34D" w14:textId="25DEAC25" w:rsidR="00047BC3" w:rsidRDefault="00047BC3" w:rsidP="00047BC3">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28BC5273" w14:textId="672049EA" w:rsidR="00047BC3" w:rsidRDefault="00047BC3" w:rsidP="00047BC3">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52BC9375" w14:textId="1778067C" w:rsidR="00047BC3" w:rsidRDefault="00047BC3" w:rsidP="00047BC3">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p w14:paraId="5CC0887F" w14:textId="520A920B" w:rsidR="00047BC3" w:rsidRDefault="00047BC3" w:rsidP="00047BC3"/>
    <w:bookmarkEnd w:id="0"/>
    <w:p w14:paraId="063EB7FE" w14:textId="1113F188" w:rsidR="00391ECD" w:rsidRDefault="005172C5" w:rsidP="005E1CCC">
      <w:pPr>
        <w:pStyle w:val="Titolo3"/>
      </w:pPr>
      <w:r>
        <w:t>Errore riducibile e irriducibile</w:t>
      </w:r>
    </w:p>
    <w:p w14:paraId="097CEA1F" w14:textId="68ACBEE7" w:rsidR="00B7033E" w:rsidRDefault="00B7033E" w:rsidP="00B7033E">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è molto complicata. Teoricamente questo errore è comprimibile, ma anche immaginando di poter fornire una stima perfetta per </w:t>
      </w:r>
      <m:oMath>
        <m:r>
          <w:rPr>
            <w:rFonts w:ascii="Cambria Math" w:hAnsi="Cambria Math"/>
          </w:rPr>
          <m:t>f</m:t>
        </m:r>
      </m:oMath>
      <w:r w:rsidR="005732DC">
        <w:rPr>
          <w:rFonts w:eastAsiaTheme="minorEastAsia"/>
        </w:rPr>
        <w:t xml:space="preserve"> rimarrà una parte di errore “irriducibile”, perché </w:t>
      </w:r>
      <m:oMath>
        <m:r>
          <w:rPr>
            <w:rFonts w:ascii="Cambria Math" w:hAnsi="Cambria Math"/>
          </w:rPr>
          <m:t>f</m:t>
        </m:r>
      </m:oMath>
      <w:r w:rsidR="005732DC">
        <w:rPr>
          <w:rFonts w:eastAsiaTheme="minorEastAsia"/>
        </w:rPr>
        <w:t xml:space="preserve"> è anche funzione di </w:t>
      </w:r>
      <m:oMath>
        <m:r>
          <w:rPr>
            <w:rFonts w:ascii="Cambria Math" w:hAnsi="Cambria Math"/>
          </w:rPr>
          <m:t>ε</m:t>
        </m:r>
      </m:oMath>
      <w:r w:rsidR="005732DC">
        <w:rPr>
          <w:rFonts w:eastAsiaTheme="minorEastAsia"/>
        </w:rPr>
        <w:t>. Questo comporta un limite alla accuratezza della predizione</w:t>
      </w:r>
      <w:r w:rsidR="000A103A">
        <w:rPr>
          <w:rStyle w:val="Rimandonotaapidipagina"/>
          <w:rFonts w:eastAsiaTheme="minorEastAsia"/>
        </w:rPr>
        <w:footnoteReference w:id="8"/>
      </w:r>
      <w:r w:rsidR="005732DC">
        <w:rPr>
          <w:rFonts w:eastAsiaTheme="minorEastAsia"/>
        </w:rPr>
        <w:t xml:space="preserve">, anche se questo limite è ignoto dato che </w:t>
      </w:r>
      <m:oMath>
        <m:r>
          <w:rPr>
            <w:rFonts w:ascii="Cambria Math" w:hAnsi="Cambria Math"/>
          </w:rPr>
          <m:t>f</m:t>
        </m:r>
      </m:oMath>
      <w:r w:rsidR="005732DC">
        <w:rPr>
          <w:rFonts w:eastAsiaTheme="minorEastAsia"/>
        </w:rPr>
        <w:t xml:space="preserve"> nella ricerca è ignota.</w:t>
      </w:r>
      <w:r w:rsidR="000A103A">
        <w:rPr>
          <w:rFonts w:eastAsiaTheme="minorEastAsia"/>
        </w:rPr>
        <w:t xml:space="preserve"> </w:t>
      </w:r>
    </w:p>
    <w:p w14:paraId="2048BB8B" w14:textId="06A0703E" w:rsidR="00A44E7B" w:rsidRDefault="00A44E7B" w:rsidP="00A44E7B">
      <w:pPr>
        <w:pStyle w:val="Titolo3"/>
      </w:pPr>
      <w:r>
        <w:t xml:space="preserve">Perché stimare </w:t>
      </w:r>
      <m:oMath>
        <m:r>
          <w:rPr>
            <w:rFonts w:ascii="Cambria Math" w:hAnsi="Cambria Math"/>
          </w:rPr>
          <m:t>f</m:t>
        </m:r>
      </m:oMath>
    </w:p>
    <w:p w14:paraId="5D31F5C8" w14:textId="18A96F4F" w:rsidR="00EA3502" w:rsidRDefault="00A44E7B" w:rsidP="00B7033E">
      <w:r>
        <w:t>Gli obiettivi nell’apprendimento statistico sono pri</w:t>
      </w:r>
      <w:r w:rsidR="00840D5D">
        <w:t>ncipalmente due: la predizione e</w:t>
      </w:r>
      <w:r>
        <w:t xml:space="preserve"> l’inferenza</w:t>
      </w:r>
      <w:r w:rsidR="006A4974">
        <w:rPr>
          <w:rStyle w:val="Rimandonotaapidipagina"/>
        </w:rPr>
        <w:footnoteReference w:id="9"/>
      </w:r>
      <w:r>
        <w:t>.</w:t>
      </w:r>
      <w:r w:rsidR="00840D5D">
        <w:t xml:space="preserve"> </w:t>
      </w:r>
    </w:p>
    <w:p w14:paraId="509FDF5C" w14:textId="3549F409" w:rsidR="00A44E7B" w:rsidRDefault="00840D5D" w:rsidP="00B7033E">
      <w:pPr>
        <w:rPr>
          <w:rFonts w:eastAsiaTheme="minorEastAsia"/>
        </w:rPr>
      </w:pPr>
      <w:r>
        <w:t xml:space="preserve">Nel caso della predizione </w:t>
      </w:r>
      <w:r w:rsidR="00EA3502">
        <w:t>si è</w:t>
      </w:r>
      <w:r>
        <w:t xml:space="preserve">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w:t>
      </w:r>
      <w:r w:rsidR="00EA3502">
        <w:rPr>
          <w:rFonts w:eastAsiaTheme="minorEastAsia"/>
        </w:rPr>
        <w:t xml:space="preserve">predittiva </w:t>
      </w:r>
      <w:r>
        <w:rPr>
          <w:rFonts w:eastAsiaTheme="minorEastAsia"/>
        </w:rPr>
        <w:t xml:space="preserve">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r w:rsidRPr="00840D5D">
        <w:rPr>
          <w:rFonts w:eastAsiaTheme="minorEastAsia"/>
          <w:i/>
        </w:rPr>
        <w:t>black box</w:t>
      </w:r>
      <w:r>
        <w:rPr>
          <w:rFonts w:eastAsiaTheme="minorEastAsia"/>
        </w:rPr>
        <w:t>.</w:t>
      </w:r>
    </w:p>
    <w:p w14:paraId="674E12C1" w14:textId="4B9C1A18" w:rsidR="00EA3502" w:rsidRDefault="00EA3502" w:rsidP="00EA3502">
      <w:pPr>
        <w:rPr>
          <w:rFonts w:eastAsiaTheme="minorEastAsia"/>
        </w:rPr>
      </w:pPr>
      <w:r>
        <w:rPr>
          <w:rFonts w:eastAsiaTheme="minorEastAsia"/>
        </w:rPr>
        <w:t xml:space="preserve">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w:t>
      </w:r>
      <w:r w:rsidR="003D74A0">
        <w:rPr>
          <w:rFonts w:eastAsiaTheme="minorEastAsia"/>
        </w:rPr>
        <w:t>a capire come funziona il modello</w:t>
      </w:r>
      <w:r>
        <w:rPr>
          <w:rFonts w:eastAsiaTheme="minorEastAsia"/>
        </w:rPr>
        <w:t>. Questo, come vedremo, indir</w:t>
      </w:r>
      <w:r w:rsidR="003D74A0">
        <w:rPr>
          <w:rFonts w:eastAsiaTheme="minorEastAsia"/>
        </w:rPr>
        <w:t>i</w:t>
      </w:r>
      <w:r>
        <w:rPr>
          <w:rFonts w:eastAsiaTheme="minorEastAsia"/>
        </w:rPr>
        <w:t>zzerà la scelta verso una tipologia di modello predittivo piuttosto che di un altro.</w:t>
      </w:r>
    </w:p>
    <w:p w14:paraId="2F25353C" w14:textId="487478E7" w:rsidR="00391ECD" w:rsidRDefault="005172C5" w:rsidP="00EA3502">
      <w:pPr>
        <w:pStyle w:val="Titolo3"/>
        <w:rPr>
          <w:i w:val="0"/>
          <w:iCs/>
        </w:rPr>
      </w:pPr>
      <w:r>
        <w:t xml:space="preserve">Come stimare </w:t>
      </w:r>
      <m:oMath>
        <m:r>
          <w:rPr>
            <w:rFonts w:ascii="Cambria Math" w:hAnsi="Cambria Math"/>
          </w:rPr>
          <m:t>f</m:t>
        </m:r>
      </m:oMath>
      <w:r w:rsidR="003436F7">
        <w:rPr>
          <w:iCs/>
        </w:rPr>
        <w:t>: metodi parametrici e non-parametrici</w:t>
      </w:r>
    </w:p>
    <w:p w14:paraId="1FC3C4D4" w14:textId="09B866DB" w:rsidR="00E03836" w:rsidRDefault="00A51B0D" w:rsidP="0092412A">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318B935E" w14:textId="111CE6BF" w:rsidR="00A51B0D" w:rsidRDefault="00A51B0D" w:rsidP="00A51B0D">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19C40C69" w14:textId="781ACB96" w:rsidR="00A51B0D" w:rsidRPr="00A51B0D" w:rsidRDefault="00A51B0D" w:rsidP="00A51B0D">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2CCD8FDB" w14:textId="6360DCF9" w:rsidR="00A51B0D" w:rsidRDefault="00A51B0D" w:rsidP="00A51B0D">
      <w:pPr>
        <w:ind w:firstLine="0"/>
        <w:rPr>
          <w:rFonts w:eastAsiaTheme="minorEastAsia"/>
        </w:rPr>
      </w:pPr>
      <w:r>
        <w:rPr>
          <w:rFonts w:eastAsiaTheme="minorEastAsia"/>
        </w:rPr>
        <w:t>e quindi</w:t>
      </w:r>
    </w:p>
    <w:p w14:paraId="06B95F85" w14:textId="460C2808" w:rsidR="00A51B0D" w:rsidRDefault="003045C8" w:rsidP="00A51B0D">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B295FAD" w14:textId="6EC17B4A" w:rsidR="00A51B0D" w:rsidRDefault="00097770" w:rsidP="00FB0783">
      <w:pPr>
        <w:ind w:firstLine="0"/>
        <w:rPr>
          <w:rFonts w:eastAsiaTheme="minorEastAsia"/>
          <w:iCs/>
        </w:rPr>
      </w:pPr>
      <w:r>
        <w:t xml:space="preserve">In tal caso poi si dovrà adottare un certo metodo di stima dei parametri ignoti (nel caso della regressione lineare il metodo dei minimi quadrati) e </w:t>
      </w:r>
      <w:r w:rsidR="00F128E6">
        <w:t xml:space="preserve">si avrà così </w:t>
      </w:r>
      <w:r>
        <w:t xml:space="preserve">la stima di </w:t>
      </w:r>
      <m:oMath>
        <m:r>
          <w:rPr>
            <w:rFonts w:ascii="Cambria Math" w:hAnsi="Cambria Math"/>
          </w:rPr>
          <m:t>f</m:t>
        </m:r>
        <m:r>
          <w:rPr>
            <w:rStyle w:val="Rimandonotaapidipagina"/>
            <w:rFonts w:ascii="Cambria Math" w:hAnsi="Cambria Math"/>
            <w:i/>
            <w:iCs/>
          </w:rPr>
          <w:footnoteReference w:id="10"/>
        </m:r>
      </m:oMath>
      <w:r>
        <w:rPr>
          <w:rFonts w:eastAsiaTheme="minorEastAsia"/>
          <w:iCs/>
        </w:rPr>
        <w:t>.</w:t>
      </w:r>
    </w:p>
    <w:p w14:paraId="0FA3BAFD" w14:textId="67148FFB" w:rsidR="00FB0783" w:rsidRDefault="00091A88" w:rsidP="00091A88">
      <w:r>
        <w:lastRenderedPageBreak/>
        <w:t>Questo approccio facilita di molto l’individuazione di un modello, ma si assume il rischio di sbagliare dal principio la supposizione sulla reale forma della funzione che descrive il fenomeno.</w:t>
      </w:r>
    </w:p>
    <w:p w14:paraId="220DE289" w14:textId="0D52BC64" w:rsidR="00A51B0D" w:rsidRDefault="00091A88" w:rsidP="00D95819">
      <w:r>
        <w:t>Un approccio differente è quello dei modelli non-parametrici. Un modello non-parametrico non fa alcuna assunzione sulla forma della funzione che regola il fenomeno, ma si lascia – per così dire – guidare completamente dai dati</w:t>
      </w:r>
      <w:r w:rsidR="008C273B">
        <w:t xml:space="preserve"> – e per questo per </w:t>
      </w:r>
      <w:r w:rsidR="003C202C">
        <w:t>funzionare bene ha bisogno di una quantità notevole di osservazioni da processare</w:t>
      </w:r>
      <w:r w:rsidR="003C202C">
        <w:rPr>
          <w:rStyle w:val="Rimandonotaapidipagina"/>
        </w:rPr>
        <w:footnoteReference w:id="11"/>
      </w:r>
      <w:r w:rsidR="00326606">
        <w:t>. Un ulteriore svantaggio è che, adattandosi molto ai dati processati, i modelli non-parametrici tendono a soffrire di più di un concetto chiave che incontreremo nel proseguo della trattazione, ovvero l’</w:t>
      </w:r>
      <w:r w:rsidR="00326606" w:rsidRPr="00326606">
        <w:rPr>
          <w:i/>
        </w:rPr>
        <w:t>overfitting</w:t>
      </w:r>
      <w:r w:rsidR="00326606">
        <w:t>.</w:t>
      </w:r>
    </w:p>
    <w:p w14:paraId="538D8C5F" w14:textId="78E9416B" w:rsidR="00424F16" w:rsidRDefault="00424F16" w:rsidP="00424F16">
      <w:pPr>
        <w:pStyle w:val="Titolo3"/>
      </w:pPr>
      <w:r>
        <w:t>Misurare l’adattamento ai dati del modello</w:t>
      </w:r>
    </w:p>
    <w:p w14:paraId="480A0A5A" w14:textId="6B5F3DCD" w:rsidR="00A85533" w:rsidRDefault="00B93625" w:rsidP="00A85533">
      <w:pPr>
        <w:rPr>
          <w:rFonts w:eastAsiaTheme="minorEastAsia"/>
        </w:rPr>
      </w:pPr>
      <w:r>
        <w:t>Ogni modello ha le sue metriche di performance predittive piuttosto che le statistiche test</w:t>
      </w:r>
      <w:r w:rsidR="00176E31">
        <w:rPr>
          <w:rStyle w:val="Rimandonotaapidipagina"/>
        </w:rPr>
        <w:footnoteReference w:id="12"/>
      </w:r>
      <w:r>
        <w:t xml:space="preserve"> per valutare la bontà di adattamento ai dati. La regressione lineare ha l’errore quadratico medio e la statistica F</w:t>
      </w:r>
      <w:r w:rsidR="00D31909">
        <w:rPr>
          <w:rStyle w:val="Rimandonotaapidipagina"/>
        </w:rPr>
        <w:footnoteReference w:id="13"/>
      </w:r>
      <w:r>
        <w:t>, la regressione logistica l’</w:t>
      </w:r>
      <w:r w:rsidR="00324BD5">
        <w:t>AUROC</w:t>
      </w:r>
      <w:r>
        <w:t xml:space="preserve"> e la devianza </w:t>
      </w:r>
      <w:r w:rsidR="0047729E">
        <w:t>piuttosto che la statistica HL</w:t>
      </w:r>
      <w:r w:rsidR="0047729E">
        <w:rPr>
          <w:rStyle w:val="Rimandonotaapidipagina"/>
        </w:rPr>
        <w:footnoteReference w:id="14"/>
      </w:r>
      <w:r w:rsidR="00176E31">
        <w:t xml:space="preserve">, </w:t>
      </w:r>
      <w:r w:rsidR="009756F9">
        <w:t>la KNN l’errore quadratico medio piuttosto che la sensitività</w:t>
      </w:r>
      <w:r w:rsidR="009756F9">
        <w:rPr>
          <w:rStyle w:val="Rimandonotaapidipagina"/>
        </w:rPr>
        <w:footnoteReference w:id="15"/>
      </w:r>
      <w:r w:rsidR="009756F9">
        <w:t xml:space="preserve"> a seconda che la si usi per fini di regressione o classificazione (sulla cui distinzione si approfondirà successivamente)</w:t>
      </w:r>
      <w:r w:rsidR="00020E4D">
        <w:t xml:space="preserve">, </w:t>
      </w:r>
      <w:r w:rsidR="00EF3EF8">
        <w:t>tuttavia ciò che qui essenzialmente si vuole discutere è che al fine di valutare qualunque modello di apprendimento statistico è necessario distinguere tra dati di training e dati di test</w:t>
      </w:r>
      <w:r w:rsidR="00EF3EF8">
        <w:rPr>
          <w:rStyle w:val="Rimandonotaapidipagina"/>
        </w:rPr>
        <w:footnoteReference w:id="16"/>
      </w:r>
      <w:r w:rsidR="00EF3EF8">
        <w:t>.</w:t>
      </w:r>
      <w:r w:rsidR="00B86595">
        <w:t xml:space="preserve"> </w:t>
      </w:r>
      <w:r w:rsidR="003359B9">
        <w:t xml:space="preserve">Il dataset di training è il campione disponibile </w:t>
      </w:r>
      <w:r w:rsidR="00022655">
        <w:t xml:space="preserve">che viene utilizzato per l’addestramento del modello, cioè per la stima della funzione affinché quanto </w:t>
      </w:r>
      <w:r w:rsidR="00022655">
        <w:lastRenderedPageBreak/>
        <w:t xml:space="preserve">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sidR="00022655">
        <w:rPr>
          <w:rFonts w:eastAsiaTheme="minorEastAsia"/>
        </w:rPr>
        <w:t xml:space="preserve">. Tuttavia proprio perché con </w:t>
      </w:r>
      <m:oMath>
        <m:r>
          <w:rPr>
            <w:rFonts w:ascii="Cambria Math" w:hAnsi="Cambria Math"/>
          </w:rPr>
          <m:t>y</m:t>
        </m:r>
      </m:oMath>
      <w:r w:rsidR="00022655">
        <w:rPr>
          <w:rFonts w:eastAsiaTheme="minorEastAsia"/>
        </w:rPr>
        <w:t xml:space="preserve"> qui si intende il vettore osservato della variabile di risposta nel campione di training, qualunque modello addestrato viene stimato per minimizzare la funzione di costo sul dataset di training. In verità poi ogni modello </w:t>
      </w:r>
      <w:r w:rsidR="00215F8A">
        <w:rPr>
          <w:rFonts w:eastAsiaTheme="minorEastAsia"/>
        </w:rPr>
        <w:t xml:space="preserve">imparando dal “passato” (il dataset di training”) </w:t>
      </w:r>
      <w:r w:rsidR="00022655">
        <w:rPr>
          <w:rFonts w:eastAsiaTheme="minorEastAsia"/>
        </w:rPr>
        <w:t>dovrà essere applicato al mondo reale delle osservazioni di cui non si conosce il valore della variabile di risposta</w:t>
      </w:r>
      <w:r w:rsidR="00215F8A">
        <w:rPr>
          <w:rFonts w:eastAsiaTheme="minorEastAsia"/>
        </w:rPr>
        <w:t xml:space="preserve"> (“il futuro”)</w:t>
      </w:r>
      <w:r w:rsidR="00022655">
        <w:rPr>
          <w:rFonts w:eastAsiaTheme="minorEastAsia"/>
        </w:rPr>
        <w:t xml:space="preserve">, </w:t>
      </w:r>
      <w:r w:rsidR="008E48F2">
        <w:rPr>
          <w:rFonts w:eastAsiaTheme="minorEastAsia"/>
        </w:rPr>
        <w:t xml:space="preserve">e solo su questi dati (comunemente detti </w:t>
      </w:r>
      <w:r w:rsidR="00215F8A">
        <w:rPr>
          <w:rFonts w:eastAsiaTheme="minorEastAsia"/>
        </w:rPr>
        <w:t>“</w:t>
      </w:r>
      <w:r w:rsidR="008E48F2">
        <w:rPr>
          <w:rFonts w:eastAsiaTheme="minorEastAsia"/>
        </w:rPr>
        <w:t>di test</w:t>
      </w:r>
      <w:r w:rsidR="00215F8A">
        <w:rPr>
          <w:rFonts w:eastAsiaTheme="minorEastAsia"/>
        </w:rPr>
        <w:t>”</w:t>
      </w:r>
      <w:r w:rsidR="008E48F2">
        <w:rPr>
          <w:rStyle w:val="Rimandonotaapidipagina"/>
          <w:rFonts w:eastAsiaTheme="minorEastAsia"/>
        </w:rPr>
        <w:footnoteReference w:id="17"/>
      </w:r>
      <w:r w:rsidR="0047183F">
        <w:rPr>
          <w:rFonts w:eastAsiaTheme="minorEastAsia"/>
        </w:rPr>
        <w:t>)</w:t>
      </w:r>
      <w:r w:rsidR="008E48F2">
        <w:rPr>
          <w:rFonts w:eastAsiaTheme="minorEastAsia"/>
        </w:rPr>
        <w:t xml:space="preserve"> si potranno accertare le performance del modello.</w:t>
      </w:r>
      <w:r w:rsidR="00215F8A">
        <w:rPr>
          <w:rFonts w:eastAsiaTheme="minorEastAsia"/>
        </w:rPr>
        <w:t xml:space="preserve"> Sfortunatamente questi dati non sono disponibili al momento dell’addestramento del modello, vedremo nel corso della trattazione dei metodi di ricampionamento per stimare le performance del modello su dati di test. </w:t>
      </w:r>
      <w:r w:rsidR="002C77A1">
        <w:rPr>
          <w:rFonts w:eastAsiaTheme="minorEastAsia"/>
        </w:rPr>
        <w:t>Nascendo tuttavia per minimizzare la funzione di costo sulla base dei dati di training, è ovvio e fisiologico che le performance del modello sui dati di test siano peggiori</w:t>
      </w:r>
      <w:r w:rsidR="002C77A1">
        <w:rPr>
          <w:rStyle w:val="Rimandonotaapidipagina"/>
          <w:rFonts w:eastAsiaTheme="minorEastAsia"/>
        </w:rPr>
        <w:footnoteReference w:id="18"/>
      </w:r>
      <w:r w:rsidR="002C77A1">
        <w:rPr>
          <w:rFonts w:eastAsiaTheme="minorEastAsia"/>
        </w:rPr>
        <w:t>; diverso invece è il fenomeno dell’</w:t>
      </w:r>
      <w:r w:rsidR="002C77A1" w:rsidRPr="002C77A1">
        <w:rPr>
          <w:rFonts w:eastAsiaTheme="minorEastAsia"/>
          <w:i/>
        </w:rPr>
        <w:t>overfitting</w:t>
      </w:r>
      <w:r w:rsidR="002C77A1">
        <w:rPr>
          <w:rFonts w:eastAsiaTheme="minorEastAsia"/>
        </w:rPr>
        <w:t xml:space="preserve">, ovvero dell’eccessivo adattamento del modello ai dati di training; per “eccessivo” si intende un adattamento del modello anche al rumore presente nei dati, </w:t>
      </w:r>
      <w:r w:rsidR="007343CE">
        <w:rPr>
          <w:rFonts w:eastAsiaTheme="minorEastAsia"/>
        </w:rPr>
        <w:t xml:space="preserve">il tentativo di spiegare la varianza non sistematica e quindi di comprimere </w:t>
      </w:r>
      <w:r w:rsidR="002C77A1">
        <w:rPr>
          <w:rFonts w:eastAsiaTheme="minorEastAsia"/>
        </w:rPr>
        <w:t>l’errore irriducibile</w:t>
      </w:r>
      <w:r w:rsidR="007343CE">
        <w:rPr>
          <w:rFonts w:eastAsiaTheme="minorEastAsia"/>
        </w:rPr>
        <w:t xml:space="preserve">. </w:t>
      </w:r>
      <w:r w:rsidR="00ED12EF">
        <w:rPr>
          <w:rFonts w:eastAsiaTheme="minorEastAsia"/>
        </w:rPr>
        <w:t>Quando ciò accade, il modello performa in maniera eccellente nel dataset di training ma in maniera povera in quello di test</w:t>
      </w:r>
      <w:r w:rsidR="00934FA4">
        <w:rPr>
          <w:rFonts w:eastAsiaTheme="minorEastAsia"/>
        </w:rPr>
        <w:t xml:space="preserve">, nel quale non riconosce più quei </w:t>
      </w:r>
      <w:r w:rsidR="00934FA4" w:rsidRPr="00934FA4">
        <w:rPr>
          <w:rFonts w:eastAsiaTheme="minorEastAsia"/>
          <w:i/>
        </w:rPr>
        <w:t>pattern</w:t>
      </w:r>
      <w:r w:rsidR="00934FA4">
        <w:rPr>
          <w:rFonts w:eastAsiaTheme="minorEastAsia"/>
        </w:rPr>
        <w:t xml:space="preserve"> non sistematici che avevano determinato le performance di training</w:t>
      </w:r>
      <w:r w:rsidR="00ED12EF">
        <w:rPr>
          <w:rFonts w:eastAsiaTheme="minorEastAsia"/>
        </w:rPr>
        <w:t xml:space="preserve">; soprattutto si riconosce </w:t>
      </w:r>
      <w:r w:rsidR="00ED12EF" w:rsidRPr="00ED12EF">
        <w:rPr>
          <w:rFonts w:eastAsiaTheme="minorEastAsia"/>
          <w:i/>
        </w:rPr>
        <w:t>overfitting</w:t>
      </w:r>
      <w:r w:rsidR="00ED12EF">
        <w:rPr>
          <w:rFonts w:eastAsiaTheme="minorEastAsia"/>
        </w:rPr>
        <w:t xml:space="preserve"> quando un modello più semplice performa meglio di uno più complesso che si è t</w:t>
      </w:r>
      <w:r w:rsidR="00E87BBF">
        <w:rPr>
          <w:rFonts w:eastAsiaTheme="minorEastAsia"/>
        </w:rPr>
        <w:t>roppo adattato ai dati training</w:t>
      </w:r>
      <w:r w:rsidR="00E87BBF">
        <w:rPr>
          <w:rStyle w:val="Rimandonotaapidipagina"/>
          <w:rFonts w:eastAsiaTheme="minorEastAsia"/>
        </w:rPr>
        <w:footnoteReference w:id="19"/>
      </w:r>
      <w:r w:rsidR="00E87BBF">
        <w:rPr>
          <w:rFonts w:eastAsiaTheme="minorEastAsia"/>
        </w:rPr>
        <w:t>.</w:t>
      </w:r>
      <w:r w:rsidR="008F5D55">
        <w:rPr>
          <w:rFonts w:eastAsiaTheme="minorEastAsia"/>
        </w:rPr>
        <w:t xml:space="preserve"> </w:t>
      </w:r>
    </w:p>
    <w:p w14:paraId="760221EF" w14:textId="1F8852D1" w:rsidR="008F5D55" w:rsidRPr="006C202A" w:rsidRDefault="008F5D55" w:rsidP="006C202A">
      <w:r>
        <w:rPr>
          <w:rFonts w:eastAsiaTheme="minorEastAsia"/>
        </w:rPr>
        <w:t xml:space="preserve">In generale il rischio di </w:t>
      </w:r>
      <w:r w:rsidRPr="008F5D55">
        <w:rPr>
          <w:rFonts w:eastAsiaTheme="minorEastAsia"/>
          <w:i/>
        </w:rPr>
        <w:t>overfitting</w:t>
      </w:r>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20"/>
      </w:r>
      <w:r>
        <w:rPr>
          <w:rFonts w:eastAsiaTheme="minorEastAsia"/>
        </w:rPr>
        <w:t xml:space="preserve"> a seconda dei dati su cui si addestra. Ad esempio la regressione lineare o la regressione logistica sono modelli abbastanza rigidi, ed è difficile che possano </w:t>
      </w:r>
      <w:r>
        <w:rPr>
          <w:rFonts w:eastAsiaTheme="minorEastAsia"/>
        </w:rPr>
        <w:lastRenderedPageBreak/>
        <w:t xml:space="preserve">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5DE8CF20" w14:textId="7A593E69" w:rsidR="00F772B3" w:rsidRDefault="00303A2A" w:rsidP="00F772B3">
      <w:pPr>
        <w:pStyle w:val="Titolo1"/>
      </w:pPr>
      <w:r>
        <w:t>Gli algoritmi dell’</w:t>
      </w:r>
      <w:r w:rsidR="00407514">
        <w:t>apprendimento statistico</w:t>
      </w:r>
    </w:p>
    <w:p w14:paraId="1F0D2319" w14:textId="434E6094" w:rsidR="00F772B3" w:rsidRDefault="00303A2A" w:rsidP="00F772B3">
      <w:pPr>
        <w:pStyle w:val="Titolo3"/>
      </w:pPr>
      <w:r>
        <w:t>Algoritmi</w:t>
      </w:r>
      <w:r w:rsidR="00407514">
        <w:t xml:space="preserve"> supervisionat</w:t>
      </w:r>
      <w:r>
        <w:t>i</w:t>
      </w:r>
      <w:r w:rsidR="007B0AA1">
        <w:t xml:space="preserve"> e non-</w:t>
      </w:r>
      <w:r>
        <w:t>supervisionati</w:t>
      </w:r>
      <w:r w:rsidR="00316120">
        <w:rPr>
          <w:rStyle w:val="Rimandonotaapidipagina"/>
        </w:rPr>
        <w:footnoteReference w:id="21"/>
      </w:r>
    </w:p>
    <w:p w14:paraId="6B195D44" w14:textId="7137EF66" w:rsidR="007F1230" w:rsidRDefault="00DA4CC4" w:rsidP="007F1230">
      <w:r>
        <w:t xml:space="preserve">Gli algoritmi di apprendimento statistico sono supervisionati quando nel dataset di training </w:t>
      </w:r>
      <w:r w:rsidR="007B0AA1">
        <w:t xml:space="preserve">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6A3E405C" w14:textId="7D358955" w:rsidR="007B0AA1" w:rsidRDefault="007B0AA1" w:rsidP="007F1230">
      <w:r>
        <w:t>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pattern significativi nei dati di input</w:t>
      </w:r>
      <w:r w:rsidR="00316120">
        <w:t xml:space="preserve"> – è </w:t>
      </w:r>
      <w:r w:rsidR="001F13D8">
        <w:t xml:space="preserve">un caso di </w:t>
      </w:r>
      <w:r w:rsidR="001F13D8" w:rsidRPr="00F25604">
        <w:rPr>
          <w:i/>
        </w:rPr>
        <w:t>cluster analysis</w:t>
      </w:r>
      <w:r w:rsidR="00F25604">
        <w:t>.</w:t>
      </w:r>
    </w:p>
    <w:p w14:paraId="16BA1E9F" w14:textId="3EB624D6" w:rsidR="00F25604" w:rsidRDefault="00F25604" w:rsidP="007F1230">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72A40C1C" w14:textId="2920A29A" w:rsidR="00903F4E" w:rsidRDefault="00407514" w:rsidP="00407514">
      <w:pPr>
        <w:pStyle w:val="Titolo3"/>
      </w:pPr>
      <w:r>
        <w:t>Regressione e classificazione</w:t>
      </w:r>
    </w:p>
    <w:p w14:paraId="526CE275" w14:textId="474083B2" w:rsidR="00E909FD" w:rsidRPr="00E909FD" w:rsidRDefault="00176688" w:rsidP="00E909FD">
      <w:r>
        <w:t xml:space="preserve">Se la variabile di interesse è quantitativa, allora il modello di apprendimento statistico assume la forma di una regressione (lineare o meno, questo non interessa). </w:t>
      </w:r>
      <w:r w:rsidR="00780836">
        <w:t xml:space="preserve">In questo caso il modello verrà valutato per quanto la quantità stimata </w:t>
      </w:r>
      <w:r w:rsidR="00780836">
        <w:lastRenderedPageBreak/>
        <w:t xml:space="preserve">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la </w:t>
      </w:r>
      <w:r w:rsidR="00780836" w:rsidRPr="00414C86">
        <w:rPr>
          <w:i/>
        </w:rPr>
        <w:t>cluster analysis</w:t>
      </w:r>
      <w:r w:rsidR="00780836">
        <w:t xml:space="preserve"> esegue una classificazione, benché non si conoscano a priori i gruppi in cui sussumere le osservazioni.</w:t>
      </w:r>
      <w:r w:rsidR="00414C86">
        <w:t xml:space="preserve"> Per i modelli di classificazione le performance genericamente si valutano su quante unità sono state classificate correttamente, anche se nel paragrafo 7 vedremo che sarà necessario considerare anche altri aspetti per una valutazione più approfondita e attendibile delle performance di un classificatore.</w:t>
      </w:r>
    </w:p>
    <w:p w14:paraId="76AA33C4" w14:textId="7A90D7A4" w:rsidR="00035F1A" w:rsidRDefault="00035F1A" w:rsidP="00035F1A">
      <w:pPr>
        <w:pStyle w:val="Titolo1"/>
      </w:pPr>
      <w:r>
        <w:t>Distorsione e varianza della stima del modello</w:t>
      </w:r>
    </w:p>
    <w:p w14:paraId="429CB662" w14:textId="022BAFCA" w:rsidR="00BD1AA7" w:rsidRPr="00384355" w:rsidRDefault="00A72BE8" w:rsidP="00384355">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F2885">
        <w:rPr>
          <w:rFonts w:eastAsiaTheme="minorEastAsia"/>
        </w:rPr>
        <w:t xml:space="preserve">come stima della funzione </w:t>
      </w:r>
      <m:oMath>
        <m:r>
          <w:rPr>
            <w:rFonts w:ascii="Cambria Math" w:hAnsi="Cambria Math"/>
          </w:rPr>
          <m:t>f</m:t>
        </m:r>
      </m:oMath>
      <w:r w:rsidR="007632ED">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sidR="007632ED">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sidR="007632ED">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sidR="007632ED">
        <w:rPr>
          <w:rFonts w:eastAsiaTheme="minorEastAsia"/>
        </w:rPr>
        <w:t xml:space="preserve"> – che ricordiamo essere una variabile casuale – è:</w:t>
      </w:r>
    </w:p>
    <w:p w14:paraId="39054FEE" w14:textId="15C145E7" w:rsidR="007632ED" w:rsidRDefault="007632ED" w:rsidP="007632ED">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2A366AA" w14:textId="4194AAA2" w:rsidR="007632ED" w:rsidRDefault="007632ED" w:rsidP="0013016A">
      <w:r>
        <w:t>cioè quanto la stima oscilla rispetto al valore atteso dello stimatore</w:t>
      </w:r>
      <w:r w:rsidR="00C852B5">
        <w:rPr>
          <w:rStyle w:val="Rimandonotaapidipagina"/>
        </w:rPr>
        <w:footnoteReference w:id="22"/>
      </w:r>
      <w:r>
        <w:t xml:space="preserve">. Se parlassimo dello stimatore media campionaria, la varianza </w:t>
      </w:r>
      <w:r w:rsidR="0013016A">
        <w:t xml:space="preserve">(che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13016A">
        <w:t xml:space="preserve">) </w:t>
      </w:r>
      <w:r>
        <w:t xml:space="preserve">la si potrebbe interpretare come la media degli scarti </w:t>
      </w:r>
      <w:r w:rsidR="0013016A">
        <w:t xml:space="preserve">quadratici </w:t>
      </w:r>
      <w:r>
        <w:t xml:space="preserve">tra tante medie campionarie </w:t>
      </w:r>
      <w:r w:rsidR="0013016A">
        <w:t>(</w:t>
      </w:r>
      <w:r>
        <w:t>calcolate a partire da tanti campioni</w:t>
      </w:r>
      <w:r w:rsidR="0013016A">
        <w:t>)</w:t>
      </w:r>
      <w:r>
        <w:t xml:space="preserve"> e la media </w:t>
      </w:r>
      <w:r w:rsidR="0013016A">
        <w:t>di queste medie</w:t>
      </w:r>
      <w:r>
        <w:t xml:space="preserve"> (</w:t>
      </w:r>
      <w:r w:rsidR="0013016A">
        <w:t xml:space="preserve">tecnicamente il valore atteso, </w:t>
      </w:r>
      <w:r>
        <w:t xml:space="preserve">che </w:t>
      </w:r>
      <w:r w:rsidR="0013016A">
        <w:t xml:space="preserve">sappiamo coincidere con la media della popolazione </w:t>
      </w:r>
      <w:r>
        <w:t xml:space="preserve">). Se </w:t>
      </w:r>
      <w:r w:rsidR="0013016A">
        <w:t>media degli scarti è piccola</w:t>
      </w:r>
      <w:r>
        <w:t>, chiaramente tutti i campioni tendono a generare medie vicine a quella della popolazione.</w:t>
      </w:r>
    </w:p>
    <w:p w14:paraId="4FEF5854" w14:textId="6DAEA0AD" w:rsidR="0013016A" w:rsidRDefault="0013016A" w:rsidP="0013016A">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r w:rsidRPr="0013016A">
        <w:rPr>
          <w:rFonts w:eastAsiaTheme="minorEastAsia"/>
          <w:i/>
        </w:rPr>
        <w:t>unbiased</w:t>
      </w:r>
      <w:r>
        <w:rPr>
          <w:rFonts w:eastAsiaTheme="minorEastAsia"/>
        </w:rPr>
        <w:t xml:space="preserve">) se dato il parametro da stimare </w:t>
      </w:r>
      <m:oMath>
        <m:r>
          <w:rPr>
            <w:rFonts w:ascii="Cambria Math" w:hAnsi="Cambria Math"/>
          </w:rPr>
          <m:t>θ</m:t>
        </m:r>
      </m:oMath>
      <w:r>
        <w:rPr>
          <w:rFonts w:eastAsiaTheme="minorEastAsia"/>
        </w:rPr>
        <w:t>, allora:</w:t>
      </w:r>
    </w:p>
    <w:p w14:paraId="0FA951AA" w14:textId="16AF9F4C" w:rsidR="0013016A" w:rsidRDefault="0013016A" w:rsidP="0013016A">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2E17837E" w14:textId="1BDE9E40" w:rsidR="00C852B5" w:rsidRDefault="0013016A" w:rsidP="0013016A">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w:t>
      </w:r>
      <w:r w:rsidR="00B175CD">
        <w:rPr>
          <w:rFonts w:eastAsiaTheme="minorEastAsia"/>
        </w:rPr>
        <w:t>r</w:t>
      </w:r>
      <w:r>
        <w:rPr>
          <w:rFonts w:eastAsiaTheme="minorEastAsia"/>
        </w:rPr>
        <w:t>ire di molta varianza).</w:t>
      </w:r>
    </w:p>
    <w:p w14:paraId="23A78E0C" w14:textId="3B397E35" w:rsidR="00384355" w:rsidRDefault="00B175CD" w:rsidP="00384355">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sidR="00384355">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384355">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384355">
        <w:rPr>
          <w:rFonts w:eastAsiaTheme="minorEastAsia"/>
        </w:rPr>
        <w:t>.</w:t>
      </w:r>
    </w:p>
    <w:p w14:paraId="6E01196E" w14:textId="02892954" w:rsidR="00384355" w:rsidRDefault="00384355" w:rsidP="00384355">
      <w:pPr>
        <w:ind w:firstLine="0"/>
      </w:pPr>
      <w:r>
        <w:t>Per variabili dipendenti quantitative l’indicatore di prossimità dello stimatore al parametro è lo scarto quadratico medio (</w:t>
      </w:r>
      <w:r w:rsidRPr="00384355">
        <w:rPr>
          <w:i/>
        </w:rPr>
        <w:t>mean squared error</w:t>
      </w:r>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23"/>
      </w:r>
      <w:r>
        <w:rPr>
          <w:rFonts w:eastAsiaTheme="minorEastAsia"/>
        </w:rPr>
        <w:t xml:space="preserve"> essere uguale a:</w:t>
      </w:r>
    </w:p>
    <w:p w14:paraId="1CFBDCDA" w14:textId="045A75FC" w:rsidR="00AC1334" w:rsidRPr="00AC1334" w:rsidRDefault="00A028CD" w:rsidP="00AC133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357DF638" w14:textId="6627357D" w:rsidR="00AC1334" w:rsidRDefault="00B14F32" w:rsidP="00AC1334">
      <w:pPr>
        <w:ind w:firstLine="0"/>
        <w:rPr>
          <w:rFonts w:eastAsiaTheme="minorEastAsia"/>
        </w:rPr>
      </w:pPr>
      <w:r>
        <w:rPr>
          <w:rFonts w:eastAsiaTheme="minorEastAsia"/>
        </w:rPr>
        <w:t xml:space="preserve">Quindi posto che rimane la componente di errore irriducibile, ogni modello dovrà minimizzare queste altre due quantità </w:t>
      </w:r>
      <w:r w:rsidR="004D0601">
        <w:rPr>
          <w:rFonts w:eastAsiaTheme="minorEastAsia"/>
        </w:rPr>
        <w:t xml:space="preserve">(varianza e </w:t>
      </w:r>
      <w:r w:rsidR="004D0601" w:rsidRPr="004D0601">
        <w:rPr>
          <w:rFonts w:eastAsiaTheme="minorEastAsia"/>
          <w:i/>
        </w:rPr>
        <w:t>bias</w:t>
      </w:r>
      <w:r w:rsidR="004D0601">
        <w:rPr>
          <w:rFonts w:eastAsiaTheme="minorEastAsia"/>
        </w:rPr>
        <w:t xml:space="preserve">) </w:t>
      </w:r>
      <w:r>
        <w:rPr>
          <w:rFonts w:eastAsiaTheme="minorEastAsia"/>
        </w:rPr>
        <w:t xml:space="preserve">sempre positive. </w:t>
      </w:r>
    </w:p>
    <w:p w14:paraId="72CA0F82" w14:textId="129C9FA3" w:rsidR="004D0601" w:rsidRPr="004D1EB6" w:rsidRDefault="004D0601" w:rsidP="004D0601">
      <w:r>
        <w:t>Minimizzare queste due quantità tuttavia è problematico</w:t>
      </w:r>
      <w:r>
        <w:rPr>
          <w:rStyle w:val="Rimandonotaapidipagina"/>
        </w:rPr>
        <w:footnoteReference w:id="24"/>
      </w:r>
      <w:r>
        <w:t xml:space="preserve">: generalmente un modello più rigido ha un </w:t>
      </w:r>
      <w:r w:rsidRPr="004D0601">
        <w:rPr>
          <w:i/>
        </w:rPr>
        <w:t>bias</w:t>
      </w:r>
      <w:r>
        <w:t xml:space="preserve"> maggiore mentre uno più flessibile tende ad averne meno, ma ad avere una varianza </w:t>
      </w:r>
      <w:r w:rsidR="004D1EB6">
        <w:t>più grande</w:t>
      </w:r>
      <w:r>
        <w:t>; di solito al crescere del</w:t>
      </w:r>
      <w:r w:rsidR="004D1EB6">
        <w:t>l</w:t>
      </w:r>
      <w:r>
        <w:t xml:space="preserve">a flessibilità del modello il </w:t>
      </w:r>
      <w:r w:rsidRPr="004D0601">
        <w:rPr>
          <w:i/>
        </w:rPr>
        <w:t>bias</w:t>
      </w:r>
      <w:r>
        <w:t xml:space="preserve"> comincia a descrescere </w:t>
      </w:r>
      <w:r w:rsidR="004D1EB6">
        <w:t xml:space="preserve">più </w:t>
      </w:r>
      <w:r>
        <w:t xml:space="preserve">velocemente </w:t>
      </w:r>
      <w:r w:rsidR="004D1EB6">
        <w:t xml:space="preserve">di come cresca la varianza, sino al punto ottimale del </w:t>
      </w:r>
      <w:r w:rsidR="004D1EB6" w:rsidRPr="004D1EB6">
        <w:rPr>
          <w:i/>
        </w:rPr>
        <w:t>trade-off</w:t>
      </w:r>
      <w:r w:rsidR="004D1EB6">
        <w:t xml:space="preserve"> (chiaramente ignoto) in cui il </w:t>
      </w:r>
      <w:r w:rsidR="004D1EB6" w:rsidRPr="00C408EA">
        <w:rPr>
          <w:i/>
        </w:rPr>
        <w:t>bias</w:t>
      </w:r>
      <w:r w:rsidR="004D1EB6">
        <w:t xml:space="preserve"> non decresce quasi più mentre la varianza sale drammaticamente. Trovare una </w:t>
      </w:r>
      <w:r w:rsidR="004D1EB6">
        <w:lastRenderedPageBreak/>
        <w:t>soluzione vicina a quella ottimale è fondamentale per avere un buon modello, e questo rimane uno dei punti di attenzione più critici per lo studioso.</w:t>
      </w:r>
    </w:p>
    <w:p w14:paraId="49BAEA4B" w14:textId="75F8E1CB" w:rsidR="00117E41" w:rsidRDefault="00117E41" w:rsidP="00117E41">
      <w:pPr>
        <w:pStyle w:val="Titolo1"/>
      </w:pPr>
      <w:r>
        <w:t>Metodi di ricampionamento</w:t>
      </w:r>
      <w:r w:rsidR="001C0533">
        <w:t>: la cross-validation</w:t>
      </w:r>
    </w:p>
    <w:p w14:paraId="157CD836" w14:textId="77777777" w:rsidR="00163BD9" w:rsidRDefault="00511D05" w:rsidP="00082EC8">
      <w:r>
        <w:t xml:space="preserve">Uno dei problemi principali dell’apprendimento statistico è la difficoltà di stimare le performance (il tasso di errore, </w:t>
      </w:r>
      <w:r w:rsidRPr="00511D05">
        <w:rPr>
          <w:i/>
        </w:rPr>
        <w:t>error rate</w:t>
      </w:r>
      <w:r>
        <w:rPr>
          <w:rStyle w:val="Rimandonotaapidipagina"/>
          <w:i/>
        </w:rPr>
        <w:footnoteReference w:id="25"/>
      </w:r>
      <w:r>
        <w:t xml:space="preserve">) in fase di test di un algoritmo addestrato su dati di training. Per affrontare questa sfida si adotta una prassi di ricampionamento chiamata </w:t>
      </w:r>
      <w:r w:rsidRPr="00511D05">
        <w:rPr>
          <w:i/>
        </w:rPr>
        <w:t>cross-validation</w:t>
      </w:r>
      <w:r>
        <w:t xml:space="preserve"> che consiste nel partizionare </w:t>
      </w:r>
      <w:r w:rsidR="004B383B">
        <w:t xml:space="preserve">casualmente </w:t>
      </w:r>
      <w:r>
        <w:t xml:space="preserve">il campione a disposizione in più set, </w:t>
      </w:r>
      <w:r w:rsidR="00163BD9">
        <w:t>per poi utilizzarli in fasi diverse della creazione del modello (queste fasi sono tipicamente l’addestramento di più modelli, la selezione del migliore e la stima delle performance).</w:t>
      </w:r>
    </w:p>
    <w:p w14:paraId="3BE72E40" w14:textId="31AE77BD" w:rsidR="00163BD9" w:rsidRDefault="00163BD9" w:rsidP="00163BD9">
      <w:pPr>
        <w:pStyle w:val="Titolo3"/>
      </w:pPr>
      <w:r>
        <w:t>Il paradigma train validate and test</w:t>
      </w:r>
      <w:r>
        <w:rPr>
          <w:rStyle w:val="Rimandonotaapidipagina"/>
          <w:i w:val="0"/>
        </w:rPr>
        <w:footnoteReference w:id="26"/>
      </w:r>
    </w:p>
    <w:p w14:paraId="368DD8F9" w14:textId="2731A2D5" w:rsidR="00B76801" w:rsidRDefault="001C0533" w:rsidP="00082EC8">
      <w:r>
        <w:t xml:space="preserve">Questo approccio consiste nella divisione del campione in un set </w:t>
      </w:r>
      <w:r w:rsidR="00511D05">
        <w:t>di training, uno di validazione, uno di test</w:t>
      </w:r>
      <w:r w:rsidR="00915AA8">
        <w:t xml:space="preserve">, con una proporzione tipica di </w:t>
      </w:r>
      <m:oMath>
        <m:r>
          <w:rPr>
            <w:rFonts w:ascii="Cambria Math" w:hAnsi="Cambria Math"/>
          </w:rPr>
          <m:t>2:1:1</m:t>
        </m:r>
      </m:oMath>
      <w:r w:rsidR="004B383B">
        <w:rPr>
          <w:rStyle w:val="Rimandonotaapidipagina"/>
        </w:rPr>
        <w:footnoteReference w:id="27"/>
      </w:r>
      <w:r w:rsidR="00511D05">
        <w:t>.</w:t>
      </w:r>
      <w:r w:rsidR="004B383B">
        <w:t xml:space="preserve"> </w:t>
      </w:r>
      <w:r w:rsidR="00163BD9">
        <w:t>Con una partizione del genere possiamo raggiungere più obiettivi: utilizzare il dataset di training per addestrare vari modelli (quindi calcolare i coefficienti), quello di validazione per selezionare il modello con l’</w:t>
      </w:r>
      <w:r w:rsidR="00163BD9" w:rsidRPr="00163BD9">
        <w:rPr>
          <w:i/>
        </w:rPr>
        <w:t>error rate</w:t>
      </w:r>
      <w:r w:rsidR="00163BD9">
        <w:t xml:space="preserve"> più basso, e quello di test per stimare il </w:t>
      </w:r>
      <w:r w:rsidR="00163BD9" w:rsidRPr="00163BD9">
        <w:rPr>
          <w:i/>
        </w:rPr>
        <w:t>test error rate</w:t>
      </w:r>
      <w:r w:rsidR="00163BD9">
        <w:t xml:space="preserve"> e avere quindi una idea di come l’algoritmo predittivo potrà performare su dati della medesima distribuzione di quelli utilizzati per l’analisi</w:t>
      </w:r>
      <w:r w:rsidR="00163BD9">
        <w:rPr>
          <w:rStyle w:val="Rimandonotaapidipagina"/>
        </w:rPr>
        <w:footnoteReference w:id="28"/>
      </w:r>
      <w:r w:rsidR="00163BD9">
        <w:t xml:space="preserve">. </w:t>
      </w:r>
    </w:p>
    <w:p w14:paraId="4F84516F" w14:textId="24CF57E2" w:rsidR="00454681" w:rsidRDefault="00876192" w:rsidP="00454681">
      <w:r>
        <w:t>In questo modo</w:t>
      </w:r>
      <w:r w:rsidR="00D1527D">
        <w:t xml:space="preserve"> si mitiga anche il rischio di </w:t>
      </w:r>
      <w:r w:rsidR="00D1527D" w:rsidRPr="00D1527D">
        <w:rPr>
          <w:i/>
        </w:rPr>
        <w:t>overfitting</w:t>
      </w:r>
      <w:r w:rsidR="00D1527D">
        <w:rPr>
          <w:rStyle w:val="Rimandonotaapidipagina"/>
        </w:rPr>
        <w:footnoteReference w:id="29"/>
      </w:r>
      <w:r w:rsidR="00D1527D">
        <w:t xml:space="preserve">; potendo infatti stimare più </w:t>
      </w:r>
      <w:r w:rsidR="00D1527D" w:rsidRPr="00D1527D">
        <w:rPr>
          <w:i/>
        </w:rPr>
        <w:t>test error rate</w:t>
      </w:r>
      <w:r w:rsidR="00D1527D">
        <w:t xml:space="preserve"> per più modelli, quelli che si adattano eccessivamente ai dati (presumibilmente i più complessi</w:t>
      </w:r>
      <w:r w:rsidR="00D1527D">
        <w:rPr>
          <w:rStyle w:val="Rimandonotaapidipagina"/>
        </w:rPr>
        <w:footnoteReference w:id="30"/>
      </w:r>
      <w:r w:rsidR="00D1527D">
        <w:t xml:space="preserve"> e flessibili) performeranno scarsamente </w:t>
      </w:r>
      <w:r w:rsidR="00D1527D">
        <w:lastRenderedPageBreak/>
        <w:t>sul set di validazione e quindi verranno scartati.</w:t>
      </w:r>
      <w:r w:rsidR="00454681">
        <w:t xml:space="preserve">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sidR="00454681">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sidR="00454681">
        <w:rPr>
          <w:rFonts w:eastAsiaTheme="minorEastAsia"/>
        </w:rPr>
        <w:t xml:space="preserve">, che per partizioni differenti potrebbe generare </w:t>
      </w:r>
      <w:r w:rsidR="00454681" w:rsidRPr="00454681">
        <w:rPr>
          <w:rFonts w:eastAsiaTheme="minorEastAsia"/>
          <w:i/>
        </w:rPr>
        <w:t>test error rate</w:t>
      </w:r>
      <w:r w:rsidR="00454681">
        <w:rPr>
          <w:rFonts w:eastAsiaTheme="minorEastAsia"/>
        </w:rPr>
        <w:t xml:space="preserve"> molto diversi tra loro</w:t>
      </w:r>
      <w:r w:rsidR="00454681">
        <w:rPr>
          <w:rStyle w:val="Rimandonotaapidipagina"/>
          <w:rFonts w:eastAsiaTheme="minorEastAsia"/>
        </w:rPr>
        <w:footnoteReference w:id="31"/>
      </w:r>
      <w:r w:rsidR="00454681">
        <w:rPr>
          <w:rFonts w:eastAsiaTheme="minorEastAsia"/>
        </w:rPr>
        <w:t>.</w:t>
      </w:r>
    </w:p>
    <w:p w14:paraId="5D5C0F9F" w14:textId="65E32FD4" w:rsidR="00876192" w:rsidRDefault="00263D69" w:rsidP="00263D69">
      <w:pPr>
        <w:pStyle w:val="Titolo3"/>
      </w:pPr>
      <w:r>
        <w:t>K-fold cross-validation</w:t>
      </w:r>
    </w:p>
    <w:p w14:paraId="7EBB86D9" w14:textId="4AC12F77" w:rsidR="00E22B1B" w:rsidRDefault="002259EA" w:rsidP="00263D69">
      <w:pPr>
        <w:rPr>
          <w:rFonts w:eastAsiaTheme="minorEastAsia"/>
        </w:rPr>
      </w:pPr>
      <w:r>
        <w:t xml:space="preserve">Una seconda metodologia di </w:t>
      </w:r>
      <w:r w:rsidRPr="002259EA">
        <w:rPr>
          <w:i/>
        </w:rPr>
        <w:t>cross-validation</w:t>
      </w:r>
      <w:r>
        <w:t xml:space="preserve"> è la </w:t>
      </w:r>
      <w:r w:rsidR="00E22B1B">
        <w:t>cosiddetta</w:t>
      </w:r>
      <w:r>
        <w:t xml:space="preserve"> </w:t>
      </w:r>
      <w:r w:rsidRPr="00E22B1B">
        <w:rPr>
          <w:i/>
        </w:rPr>
        <w:t>k-fold validation</w:t>
      </w:r>
      <w:r>
        <w:t xml:space="preserve">, che consiste nel partizionare il campione in </w:t>
      </w:r>
      <m:oMath>
        <m:r>
          <w:rPr>
            <w:rFonts w:ascii="Cambria Math" w:hAnsi="Cambria Math"/>
          </w:rPr>
          <m:t>k</m:t>
        </m:r>
      </m:oMath>
      <w:r>
        <w:rPr>
          <w:rFonts w:eastAsiaTheme="minorEastAsia"/>
        </w:rPr>
        <w:t xml:space="preserve"> set differenti (di solito</w:t>
      </w:r>
      <w:r w:rsidR="00E22B1B">
        <w:rPr>
          <w:rFonts w:eastAsiaTheme="minorEastAsia"/>
        </w:rPr>
        <w:t>- ma non necessariamente</w:t>
      </w:r>
      <w:r w:rsidR="00581A4A">
        <w:rPr>
          <w:rStyle w:val="Rimandonotaapidipagina"/>
          <w:rFonts w:eastAsiaTheme="minorEastAsia"/>
        </w:rPr>
        <w:footnoteReference w:id="32"/>
      </w:r>
      <w:r w:rsidR="00E22B1B">
        <w:rPr>
          <w:rFonts w:eastAsiaTheme="minorEastAsia"/>
        </w:rPr>
        <w:t xml:space="preserve"> –</w:t>
      </w:r>
      <w:r>
        <w:rPr>
          <w:rFonts w:eastAsiaTheme="minorEastAsia"/>
        </w:rPr>
        <w:t xml:space="preserve"> 5 o 10</w:t>
      </w:r>
      <w:r w:rsidR="00C57BFF">
        <w:rPr>
          <w:rStyle w:val="Rimandonotaapidipagina"/>
          <w:rFonts w:eastAsiaTheme="minorEastAsia"/>
        </w:rPr>
        <w:footnoteReference w:id="33"/>
      </w:r>
      <w:r w:rsidR="00E22B1B">
        <w:rPr>
          <w:rFonts w:eastAsiaTheme="minorEastAsia"/>
        </w:rPr>
        <w:t xml:space="preserve"> e di uguale proporzione</w:t>
      </w:r>
      <w:r>
        <w:rPr>
          <w:rFonts w:eastAsiaTheme="minorEastAsia"/>
        </w:rPr>
        <w:t>)</w:t>
      </w:r>
      <w:r w:rsidR="00E22B1B">
        <w:rPr>
          <w:rFonts w:eastAsiaTheme="minorEastAsia"/>
        </w:rPr>
        <w:t xml:space="preserve">, per poi addestrare il modello </w:t>
      </w:r>
      <m:oMath>
        <m:r>
          <w:rPr>
            <w:rFonts w:ascii="Cambria Math" w:hAnsi="Cambria Math"/>
          </w:rPr>
          <m:t>k</m:t>
        </m:r>
      </m:oMath>
      <w:r w:rsidR="00E22B1B">
        <w:rPr>
          <w:rFonts w:eastAsiaTheme="minorEastAsia"/>
        </w:rPr>
        <w:t xml:space="preserve"> volte su </w:t>
      </w:r>
      <m:oMath>
        <m:r>
          <w:rPr>
            <w:rFonts w:ascii="Cambria Math" w:hAnsi="Cambria Math"/>
          </w:rPr>
          <m:t>k</m:t>
        </m:r>
        <m:r>
          <w:rPr>
            <w:rFonts w:ascii="Cambria Math" w:eastAsiaTheme="minorEastAsia" w:hAnsi="Cambria Math"/>
          </w:rPr>
          <m:t>-1</m:t>
        </m:r>
      </m:oMath>
      <w:r w:rsidR="00E22B1B">
        <w:rPr>
          <w:rFonts w:eastAsiaTheme="minorEastAsia"/>
        </w:rPr>
        <w:t xml:space="preserve"> set e validarlo (quindi testare il </w:t>
      </w:r>
      <w:r w:rsidR="00E22B1B" w:rsidRPr="00E22B1B">
        <w:rPr>
          <w:rFonts w:eastAsiaTheme="minorEastAsia"/>
          <w:i/>
        </w:rPr>
        <w:t>test error rate</w:t>
      </w:r>
      <w:r w:rsidR="00E22B1B">
        <w:rPr>
          <w:rFonts w:eastAsiaTheme="minorEastAsia"/>
        </w:rPr>
        <w:t xml:space="preserve">) sul k-esimo set rimanente. Si avranno così, per ogni modello addestrato, </w:t>
      </w:r>
      <m:oMath>
        <m:r>
          <w:rPr>
            <w:rFonts w:ascii="Cambria Math" w:hAnsi="Cambria Math"/>
          </w:rPr>
          <m:t>k</m:t>
        </m:r>
      </m:oMath>
      <w:r w:rsidR="00E22B1B">
        <w:rPr>
          <w:rFonts w:eastAsiaTheme="minorEastAsia"/>
        </w:rPr>
        <w:t xml:space="preserve"> </w:t>
      </w:r>
      <w:r w:rsidR="00E22B1B" w:rsidRPr="00E22B1B">
        <w:rPr>
          <w:rFonts w:eastAsiaTheme="minorEastAsia"/>
          <w:i/>
        </w:rPr>
        <w:t>test error rate</w:t>
      </w:r>
      <w:r w:rsidR="00E22B1B">
        <w:rPr>
          <w:rFonts w:eastAsiaTheme="minorEastAsia"/>
        </w:rPr>
        <w:t xml:space="preserve"> da cui derivare una stima unica tramite la media</w:t>
      </w:r>
      <w:r w:rsidR="00E22B1B">
        <w:rPr>
          <w:rStyle w:val="Rimandonotaapidipagina"/>
          <w:rFonts w:eastAsiaTheme="minorEastAsia"/>
        </w:rPr>
        <w:footnoteReference w:id="34"/>
      </w:r>
      <w:r w:rsidR="00E22B1B">
        <w:rPr>
          <w:rFonts w:eastAsiaTheme="minorEastAsia"/>
        </w:rPr>
        <w:t xml:space="preserve">. </w:t>
      </w:r>
    </w:p>
    <w:p w14:paraId="4526BC67" w14:textId="7B31374D" w:rsidR="00263D69" w:rsidRDefault="00E22B1B" w:rsidP="00263D69">
      <w:pPr>
        <w:rPr>
          <w:rFonts w:eastAsiaTheme="minorEastAsia"/>
        </w:rPr>
      </w:pPr>
      <w:r>
        <w:rPr>
          <w:rFonts w:eastAsiaTheme="minorEastAsia"/>
        </w:rPr>
        <w:t xml:space="preserve">Rispetto al paradigma </w:t>
      </w:r>
      <w:r w:rsidRPr="00E22B1B">
        <w:rPr>
          <w:rFonts w:eastAsiaTheme="minorEastAsia"/>
          <w:i/>
        </w:rPr>
        <w:t>train validate and test</w:t>
      </w:r>
      <w:r>
        <w:rPr>
          <w:rFonts w:eastAsiaTheme="minorEastAsia"/>
        </w:rPr>
        <w:t xml:space="preserve"> questo approccio è computazionalmente più dispendioso, ma ha alcuni vantaggi.</w:t>
      </w:r>
    </w:p>
    <w:p w14:paraId="73304E8D" w14:textId="641B7FD5" w:rsidR="00454681" w:rsidRPr="00C65E80" w:rsidRDefault="00915AA8" w:rsidP="00C65E80">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r w:rsidRPr="00E22B1B">
        <w:rPr>
          <w:rFonts w:eastAsiaTheme="minorEastAsia"/>
          <w:i/>
        </w:rPr>
        <w:t>train validate and test</w:t>
      </w:r>
      <w:r>
        <w:rPr>
          <w:rFonts w:eastAsiaTheme="minorEastAsia"/>
        </w:rPr>
        <w:t xml:space="preserve">, comportando questo una stima più accurata del </w:t>
      </w:r>
      <w:r w:rsidRPr="00E22B1B">
        <w:rPr>
          <w:rFonts w:eastAsiaTheme="minorEastAsia"/>
          <w:i/>
        </w:rPr>
        <w:t>test error rate</w:t>
      </w:r>
      <w:r>
        <w:rPr>
          <w:rFonts w:eastAsiaTheme="minorEastAsia"/>
        </w:rPr>
        <w:t xml:space="preserve">. Inoltre </w:t>
      </w:r>
      <w:r w:rsidR="00126975">
        <w:rPr>
          <w:rFonts w:eastAsiaTheme="minorEastAsia"/>
        </w:rPr>
        <w:t>addestrandosi il modello alternativamente su tutte le osservazioni del dataset, la variabilità della stima si riduce, perché non più soggetta alla casualità della partizione del dataset.</w:t>
      </w:r>
      <w:r w:rsidR="001A2BFC">
        <w:rPr>
          <w:rFonts w:eastAsiaTheme="minorEastAsia"/>
        </w:rPr>
        <w:t xml:space="preserve"> Tuttavia il compromesso </w:t>
      </w:r>
      <w:r w:rsidR="00C65E80">
        <w:rPr>
          <w:rFonts w:eastAsiaTheme="minorEastAsia"/>
        </w:rPr>
        <w:t xml:space="preserve">tra </w:t>
      </w:r>
      <w:r w:rsidR="001A2BFC" w:rsidRPr="001A2BFC">
        <w:rPr>
          <w:rFonts w:eastAsiaTheme="minorEastAsia"/>
          <w:i/>
        </w:rPr>
        <w:t>bias</w:t>
      </w:r>
      <w:r w:rsidR="001A2BFC">
        <w:rPr>
          <w:rFonts w:eastAsiaTheme="minorEastAsia"/>
        </w:rPr>
        <w:t xml:space="preserve"> </w:t>
      </w:r>
      <w:r w:rsidR="00C65E80">
        <w:rPr>
          <w:rFonts w:eastAsiaTheme="minorEastAsia"/>
        </w:rPr>
        <w:t>e</w:t>
      </w:r>
      <w:r w:rsidR="001A2BFC">
        <w:rPr>
          <w:rFonts w:eastAsiaTheme="minorEastAsia"/>
        </w:rPr>
        <w:t xml:space="preserve"> </w:t>
      </w:r>
      <w:r w:rsidR="001A2BFC" w:rsidRPr="00C65E80">
        <w:rPr>
          <w:rFonts w:eastAsiaTheme="minorEastAsia"/>
        </w:rPr>
        <w:t>varianza</w:t>
      </w:r>
      <w:r w:rsidR="001A2BFC">
        <w:rPr>
          <w:rFonts w:eastAsiaTheme="minorEastAsia"/>
        </w:rPr>
        <w:t xml:space="preserve"> </w:t>
      </w:r>
      <w:r w:rsidR="00C65E80">
        <w:rPr>
          <w:rFonts w:eastAsiaTheme="minorEastAsia"/>
        </w:rPr>
        <w:t xml:space="preserve">della stima </w:t>
      </w:r>
      <w:r w:rsidR="001A2BFC">
        <w:rPr>
          <w:rFonts w:eastAsiaTheme="minorEastAsia"/>
        </w:rPr>
        <w:t xml:space="preserve">si sbilancia se </w:t>
      </w:r>
      <m:oMath>
        <m:r>
          <w:rPr>
            <w:rFonts w:ascii="Cambria Math" w:eastAsiaTheme="minorEastAsia" w:hAnsi="Cambria Math"/>
          </w:rPr>
          <m:t>k→n</m:t>
        </m:r>
      </m:oMath>
      <w:r w:rsidR="001A2BFC">
        <w:rPr>
          <w:rFonts w:eastAsiaTheme="minorEastAsia"/>
        </w:rPr>
        <w:t xml:space="preserve">, la cosiddetta </w:t>
      </w:r>
      <w:r w:rsidR="001A2BFC" w:rsidRPr="001A2BFC">
        <w:rPr>
          <w:rFonts w:eastAsiaTheme="minorEastAsia"/>
          <w:i/>
        </w:rPr>
        <w:t>leave-one-out-cross-validation</w:t>
      </w:r>
      <w:r w:rsidR="001A2BFC">
        <w:rPr>
          <w:rFonts w:eastAsiaTheme="minorEastAsia"/>
        </w:rPr>
        <w:t xml:space="preserve">, poiché mediando la stima di </w:t>
      </w:r>
      <m:oMath>
        <m:r>
          <w:rPr>
            <w:rFonts w:ascii="Cambria Math" w:eastAsiaTheme="minorEastAsia" w:hAnsi="Cambria Math"/>
          </w:rPr>
          <m:t>n</m:t>
        </m:r>
      </m:oMath>
      <w:r w:rsidR="001A2BFC">
        <w:rPr>
          <w:rFonts w:eastAsiaTheme="minorEastAsia"/>
        </w:rPr>
        <w:t xml:space="preserve"> </w:t>
      </w:r>
      <w:r w:rsidR="001A2BFC" w:rsidRPr="001A2BFC">
        <w:rPr>
          <w:rFonts w:eastAsiaTheme="minorEastAsia"/>
          <w:i/>
        </w:rPr>
        <w:t>test error rate</w:t>
      </w:r>
      <w:r w:rsidR="001A2BFC">
        <w:rPr>
          <w:rFonts w:eastAsiaTheme="minorEastAsia"/>
        </w:rPr>
        <w:t xml:space="preserve"> calcolati addestrando un modello su pressoché gli stessi dati (cambia una osservazione per volta) </w:t>
      </w:r>
      <w:r w:rsidR="00C65E80">
        <w:rPr>
          <w:rFonts w:eastAsiaTheme="minorEastAsia"/>
        </w:rPr>
        <w:t xml:space="preserve">avremo quantità molto correlate tra loro </w:t>
      </w:r>
      <w:r w:rsidR="00C65E80">
        <w:rPr>
          <w:rFonts w:eastAsiaTheme="minorEastAsia"/>
        </w:rPr>
        <w:lastRenderedPageBreak/>
        <w:t xml:space="preserve">che genereranno una stima sì quasi corretta (perché desunta da </w:t>
      </w:r>
      <m:oMath>
        <m:r>
          <w:rPr>
            <w:rFonts w:ascii="Cambria Math" w:eastAsiaTheme="minorEastAsia" w:hAnsi="Cambria Math"/>
          </w:rPr>
          <m:t>n-1</m:t>
        </m:r>
      </m:oMath>
      <w:r w:rsidR="00C65E80">
        <w:rPr>
          <w:rFonts w:eastAsiaTheme="minorEastAsia"/>
        </w:rPr>
        <w:t xml:space="preserve"> osservazioni) ma altamente variabile, e quindi non desiderabile</w:t>
      </w:r>
      <w:r w:rsidR="00C65E80">
        <w:rPr>
          <w:rStyle w:val="Rimandonotaapidipagina"/>
          <w:rFonts w:eastAsiaTheme="minorEastAsia"/>
        </w:rPr>
        <w:footnoteReference w:id="35"/>
      </w:r>
      <w:r w:rsidR="00C65E80">
        <w:rPr>
          <w:rFonts w:eastAsiaTheme="minorEastAsia"/>
        </w:rPr>
        <w:t>.</w:t>
      </w:r>
    </w:p>
    <w:p w14:paraId="2866D4D0" w14:textId="00B7FE39" w:rsidR="00117E41" w:rsidRDefault="00117E41" w:rsidP="00117E41">
      <w:pPr>
        <w:pStyle w:val="Titolo1"/>
      </w:pPr>
      <w:r>
        <w:t>Selezione delle variabili</w:t>
      </w:r>
      <w:r w:rsidR="007A2B83">
        <w:t xml:space="preserve"> e selezione del modello</w:t>
      </w:r>
    </w:p>
    <w:p w14:paraId="05EEFA68" w14:textId="73D9E8E6" w:rsidR="00012935" w:rsidRPr="00012935" w:rsidRDefault="00012935" w:rsidP="00012935">
      <w:r>
        <w:t>Vedi anche ng</w:t>
      </w:r>
    </w:p>
    <w:p w14:paraId="6B3F46FE" w14:textId="766563C3" w:rsidR="001D322F" w:rsidRDefault="00117E41" w:rsidP="005C56A1">
      <w:pPr>
        <w:pStyle w:val="Titolo1"/>
      </w:pPr>
      <w:r>
        <w:t>Misurazione delle performance dei modelli di classificazione binaria</w:t>
      </w:r>
    </w:p>
    <w:p w14:paraId="2AB13703" w14:textId="4D6AFEC3" w:rsidR="005C56A1" w:rsidRDefault="00025268" w:rsidP="005C56A1">
      <w:pPr>
        <w:rPr>
          <w:rFonts w:eastAsiaTheme="minorEastAsia"/>
        </w:rPr>
      </w:pPr>
      <w:r>
        <w:t>Le performance predittive</w:t>
      </w:r>
      <w:r w:rsidR="000D43B2">
        <w:rPr>
          <w:rStyle w:val="Rimandonotaapidipagina"/>
        </w:rPr>
        <w:footnoteReference w:id="36"/>
      </w:r>
      <w:r>
        <w:t xml:space="preserve"> di un modello di classificazione binaria </w:t>
      </w:r>
      <w:r w:rsidR="00D9340E">
        <w:t xml:space="preserve">si distinguono a seconda che l’uscita del modello predittivo sia una mera classe di appartenenza dell’unità di analisi (quindi nella classificazione binaria “evento” oppure “non evento”, </w:t>
      </w:r>
      <m:oMath>
        <m:r>
          <w:rPr>
            <w:rFonts w:ascii="Cambria Math" w:hAnsi="Cambria Math"/>
          </w:rPr>
          <m:t>1</m:t>
        </m:r>
      </m:oMath>
      <w:r w:rsidR="00D9340E">
        <w:rPr>
          <w:rFonts w:eastAsiaTheme="minorEastAsia"/>
        </w:rPr>
        <w:t xml:space="preserve"> o </w:t>
      </w:r>
      <m:oMath>
        <m:r>
          <w:rPr>
            <w:rFonts w:ascii="Cambria Math" w:eastAsiaTheme="minorEastAsia" w:hAnsi="Cambria Math"/>
          </w:rPr>
          <m:t>0</m:t>
        </m:r>
      </m:oMath>
      <w:r w:rsidR="00D9340E">
        <w:rPr>
          <w:rFonts w:eastAsiaTheme="minorEastAsia"/>
        </w:rPr>
        <w:t xml:space="preserve">) oppure una probabilità (o comunque una misura </w:t>
      </w:r>
      <w:r w:rsidR="00D34C6C">
        <w:rPr>
          <w:rFonts w:eastAsiaTheme="minorEastAsia"/>
        </w:rPr>
        <w:t>ordinata</w:t>
      </w:r>
      <w:r w:rsidR="00D9340E">
        <w:rPr>
          <w:rFonts w:eastAsiaTheme="minorEastAsia"/>
        </w:rPr>
        <w:t xml:space="preserve"> di propensione) di appartenere alla classe “evento”. Nel primo caso gli strumenti di valutazione delle performance tipici sono la matrice di confusione e i suoi indicatori, nel secondo caso la curva ROC e le sue declinazioni.</w:t>
      </w:r>
    </w:p>
    <w:p w14:paraId="68CB26AE" w14:textId="1E4DE1E2" w:rsidR="00D9340E" w:rsidRDefault="00D9340E" w:rsidP="004D5825">
      <w:pPr>
        <w:pStyle w:val="Titolo3"/>
        <w:rPr>
          <w:rFonts w:eastAsiaTheme="minorEastAsia"/>
        </w:rPr>
      </w:pPr>
      <w:r>
        <w:rPr>
          <w:rFonts w:eastAsiaTheme="minorEastAsia"/>
        </w:rPr>
        <w:t>La matrice di confusione</w:t>
      </w:r>
      <w:r w:rsidR="00B3366B">
        <w:rPr>
          <w:rFonts w:eastAsiaTheme="minorEastAsia"/>
        </w:rPr>
        <w:t xml:space="preserve"> e i suoi indicatori</w:t>
      </w:r>
    </w:p>
    <w:p w14:paraId="3B3FDC1B" w14:textId="4649792C" w:rsidR="004D5825" w:rsidRDefault="004D5825" w:rsidP="004D5825">
      <w:pPr>
        <w:rPr>
          <w:rFonts w:eastAsiaTheme="minorEastAsia"/>
        </w:rPr>
      </w:pPr>
      <w:r>
        <w:t xml:space="preserve">Dato un set di dati su cui si testa il modello, per il quale è disponibile la misurazione della variabile target che assume solo due valori (“evento” e “non 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è possibile costruire una </w:t>
      </w:r>
      <w:r w:rsidR="008E7795">
        <w:rPr>
          <w:rFonts w:eastAsiaTheme="minorEastAsia"/>
        </w:rPr>
        <w:t>matrice di questo tipo</w:t>
      </w:r>
      <w:r w:rsidR="00EA07B4">
        <w:rPr>
          <w:rFonts w:eastAsiaTheme="minorEastAsia"/>
        </w:rPr>
        <w:t>, denominata matrice di confusione</w:t>
      </w:r>
      <w:r w:rsidR="00EA07B4">
        <w:rPr>
          <w:rStyle w:val="Rimandonotaapidipagina"/>
          <w:rFonts w:eastAsiaTheme="minorEastAsia"/>
        </w:rPr>
        <w:footnoteReference w:id="37"/>
      </w:r>
      <w:r w:rsidR="008E7795">
        <w:rPr>
          <w:rFonts w:eastAsiaTheme="minorEastAsia"/>
        </w:rPr>
        <w:t>:</w:t>
      </w:r>
    </w:p>
    <w:p w14:paraId="5571AA87" w14:textId="05CE9040" w:rsidR="008E7795" w:rsidRDefault="008E7795" w:rsidP="004D5825">
      <w:r w:rsidRPr="008E7795">
        <w:rPr>
          <w:noProof/>
          <w:lang w:eastAsia="it-IT"/>
        </w:rPr>
        <w:drawing>
          <wp:inline distT="0" distB="0" distL="0" distR="0" wp14:anchorId="608093D5" wp14:editId="3FB42F24">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8300" cy="1333500"/>
                    </a:xfrm>
                    <a:prstGeom prst="rect">
                      <a:avLst/>
                    </a:prstGeom>
                  </pic:spPr>
                </pic:pic>
              </a:graphicData>
            </a:graphic>
          </wp:inline>
        </w:drawing>
      </w:r>
    </w:p>
    <w:p w14:paraId="0A43A1E7" w14:textId="77777777" w:rsidR="00097D4A" w:rsidRDefault="00EA07B4" w:rsidP="00EA07B4">
      <w:pPr>
        <w:ind w:firstLine="0"/>
      </w:pPr>
      <w:r>
        <w:lastRenderedPageBreak/>
        <w:t xml:space="preserve">dove TP sta per </w:t>
      </w:r>
      <w:r w:rsidRPr="00EA07B4">
        <w:rPr>
          <w:i/>
        </w:rPr>
        <w:t>true positive</w:t>
      </w:r>
      <w:r w:rsidR="00616BFE">
        <w:t xml:space="preserve"> – </w:t>
      </w:r>
      <w:r>
        <w:t xml:space="preserve">cioè gli eventi correttamente predetti come eventi, FN sta per </w:t>
      </w:r>
      <w:r w:rsidRPr="00097D4A">
        <w:rPr>
          <w:i/>
        </w:rPr>
        <w:t>false negative</w:t>
      </w:r>
      <w:r w:rsidR="00616BFE">
        <w:t xml:space="preserve"> – cioè</w:t>
      </w:r>
      <w:r w:rsidR="00616BFE" w:rsidRPr="00616BFE">
        <w:t xml:space="preserve"> </w:t>
      </w:r>
      <w:r w:rsidR="00616BFE">
        <w:t xml:space="preserve">gli eventi erroneamente predetti come </w:t>
      </w:r>
      <w:r w:rsidR="00097D4A">
        <w:t>non-eventi</w:t>
      </w:r>
      <w:r w:rsidR="00616BFE">
        <w:t xml:space="preserve">, </w:t>
      </w:r>
    </w:p>
    <w:p w14:paraId="60F0E886" w14:textId="77777777" w:rsidR="00F009F9" w:rsidRDefault="00097D4A" w:rsidP="00F009F9">
      <w:pPr>
        <w:ind w:firstLine="0"/>
      </w:pPr>
      <w:r>
        <w:t xml:space="preserve">TN sta per </w:t>
      </w:r>
      <w:r w:rsidRPr="00097D4A">
        <w:rPr>
          <w:i/>
        </w:rPr>
        <w:t>true negative</w:t>
      </w:r>
      <w:r>
        <w:t xml:space="preserve"> - cioè i non-eventi correttamente predetti come non-eventi, FP sta per </w:t>
      </w:r>
      <w:r w:rsidRPr="00097D4A">
        <w:rPr>
          <w:i/>
        </w:rPr>
        <w:t>false positive</w:t>
      </w:r>
      <w:r>
        <w:t xml:space="preserve"> – cioè i non-eventi erroneamente predetti come non-eventi.</w:t>
      </w:r>
      <w:r w:rsidR="00F009F9">
        <w:t xml:space="preserve"> </w:t>
      </w:r>
    </w:p>
    <w:p w14:paraId="6F0450FD" w14:textId="6B3539CD" w:rsidR="00097D4A" w:rsidRDefault="00F009F9" w:rsidP="00F009F9">
      <w:r>
        <w:t>È evidente che:</w:t>
      </w:r>
    </w:p>
    <w:p w14:paraId="46EEF79D" w14:textId="35311F3E" w:rsidR="00806778" w:rsidRDefault="00806778" w:rsidP="00806778">
      <m:oMathPara>
        <m:oMath>
          <m:r>
            <w:rPr>
              <w:rFonts w:ascii="Cambria Math" w:hAnsi="Cambria Math"/>
            </w:rPr>
            <m:t>TP+FN=numero totale di eventi</m:t>
          </m:r>
        </m:oMath>
      </m:oMathPara>
    </w:p>
    <w:p w14:paraId="589E15BB" w14:textId="57682621" w:rsidR="00806778" w:rsidRDefault="00806778" w:rsidP="00806778">
      <m:oMathPara>
        <m:oMath>
          <m:r>
            <w:rPr>
              <w:rFonts w:ascii="Cambria Math" w:hAnsi="Cambria Math"/>
            </w:rPr>
            <m:t>TP+FP=numero totale di positivi</m:t>
          </m:r>
        </m:oMath>
      </m:oMathPara>
    </w:p>
    <w:p w14:paraId="43B47CA7" w14:textId="17623FB6" w:rsidR="00806778" w:rsidRDefault="00806778" w:rsidP="00806778">
      <m:oMathPara>
        <m:oMath>
          <m:r>
            <w:rPr>
              <w:rFonts w:ascii="Cambria Math" w:hAnsi="Cambria Math"/>
            </w:rPr>
            <m:t>FP+TN=numero totale di non eventi</m:t>
          </m:r>
        </m:oMath>
      </m:oMathPara>
    </w:p>
    <w:p w14:paraId="7E1EE4B6" w14:textId="6C79B68A" w:rsidR="00806778" w:rsidRDefault="00806778" w:rsidP="00806778">
      <m:oMathPara>
        <m:oMath>
          <m:r>
            <w:rPr>
              <w:rFonts w:ascii="Cambria Math" w:hAnsi="Cambria Math"/>
            </w:rPr>
            <m:t>FN+TN=numero totale di negativi</m:t>
          </m:r>
        </m:oMath>
      </m:oMathPara>
    </w:p>
    <w:p w14:paraId="0239165A" w14:textId="77777777" w:rsidR="00806778" w:rsidRDefault="00806778" w:rsidP="00806778">
      <m:oMathPara>
        <m:oMath>
          <m:r>
            <w:rPr>
              <w:rFonts w:ascii="Cambria Math" w:hAnsi="Cambria Math"/>
            </w:rPr>
            <m:t>TP+FN+FP+TN=n</m:t>
          </m:r>
        </m:oMath>
      </m:oMathPara>
    </w:p>
    <w:p w14:paraId="458CD5B2" w14:textId="00C532ED" w:rsidR="00806778" w:rsidRDefault="00806778" w:rsidP="00806778">
      <w:pPr>
        <w:ind w:firstLine="0"/>
      </w:pPr>
      <w:r>
        <w:t>dove “positivo” sta per “predetto come evento” e “negativo” sta per “predetto come non-evento”.</w:t>
      </w:r>
    </w:p>
    <w:p w14:paraId="2F32E463" w14:textId="547C5035" w:rsidR="00806778" w:rsidRDefault="004E1B44" w:rsidP="004E1B44">
      <w:r>
        <w:t>Il primo indicatore</w:t>
      </w:r>
      <w:r w:rsidR="00111B32">
        <w:rPr>
          <w:rStyle w:val="Rimandonotaapidipagina"/>
        </w:rPr>
        <w:footnoteReference w:id="38"/>
      </w:r>
      <w:r>
        <w:t xml:space="preserve"> di performance di un modello tramite matrice di confusione che potrebbe venire in mente è il rapporto tra predizioni corrette e predizioni totali, l’</w:t>
      </w:r>
      <w:r w:rsidRPr="004E1B44">
        <w:rPr>
          <w:i/>
        </w:rPr>
        <w:t>accuracy</w:t>
      </w:r>
      <w:r>
        <w:rPr>
          <w:rStyle w:val="Rimandonotaapidipagina"/>
          <w:i/>
        </w:rPr>
        <w:footnoteReference w:id="39"/>
      </w:r>
      <w:r w:rsidR="003805FC">
        <w:t>:</w:t>
      </w:r>
    </w:p>
    <w:p w14:paraId="77B46ECB" w14:textId="600B4F37" w:rsidR="003805FC" w:rsidRDefault="003805FC" w:rsidP="003805FC">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1D1F3A3D" w14:textId="3EE4DDBE" w:rsidR="005E3279" w:rsidRDefault="005E3279" w:rsidP="005E3279">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w:t>
      </w:r>
      <w:r w:rsidR="00E7653F">
        <w:rPr>
          <w:rFonts w:eastAsiaTheme="minorEastAsia"/>
        </w:rPr>
        <w:t>Purtroppo</w:t>
      </w:r>
      <w:r>
        <w:rPr>
          <w:rFonts w:eastAsiaTheme="minorEastAsia"/>
        </w:rPr>
        <w:t xml:space="preserve"> alti valori di accuracy non sempre son</w:t>
      </w:r>
      <w:r w:rsidR="00E7653F">
        <w:rPr>
          <w:rFonts w:eastAsiaTheme="minorEastAsia"/>
        </w:rPr>
        <w:t>o</w:t>
      </w:r>
      <w:r>
        <w:rPr>
          <w:rFonts w:eastAsiaTheme="minorEastAsia"/>
        </w:rPr>
        <w:t xml:space="preserve"> segno di un ottimo modello. Infatti data la </w:t>
      </w:r>
      <w:r w:rsidRPr="005E3279">
        <w:rPr>
          <w:rFonts w:eastAsiaTheme="minorEastAsia"/>
          <w:i/>
        </w:rPr>
        <w:t>prevalence</w:t>
      </w:r>
      <w:r>
        <w:rPr>
          <w:rStyle w:val="Rimandonotaapidipagina"/>
          <w:rFonts w:eastAsiaTheme="minorEastAsia"/>
        </w:rPr>
        <w:footnoteReference w:id="40"/>
      </w:r>
      <w:r>
        <w:rPr>
          <w:rFonts w:eastAsiaTheme="minorEastAsia"/>
          <w:i/>
        </w:rPr>
        <w:t xml:space="preserve"> </w:t>
      </w:r>
    </w:p>
    <w:p w14:paraId="60C79AEA" w14:textId="77777777" w:rsidR="005E3279" w:rsidRDefault="005E3279" w:rsidP="005E3279">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2B0B97EF" w14:textId="2ECEA866" w:rsidR="005E3279" w:rsidRDefault="005E3279" w:rsidP="00F772B3">
      <w:pPr>
        <w:ind w:firstLine="0"/>
        <w:rPr>
          <w:rFonts w:eastAsiaTheme="minorEastAsia"/>
        </w:rPr>
      </w:pPr>
      <w:r>
        <w:rPr>
          <w:rFonts w:eastAsiaTheme="minorEastAsia"/>
        </w:rPr>
        <w:t xml:space="preserve">cioè la proporzione di eventi nel campione, e il </w:t>
      </w:r>
      <w:r w:rsidRPr="005E3279">
        <w:rPr>
          <w:rFonts w:eastAsiaTheme="minorEastAsia"/>
          <w:i/>
        </w:rPr>
        <w:t>null error rate</w:t>
      </w:r>
      <w:r>
        <w:rPr>
          <w:rFonts w:eastAsiaTheme="minorEastAsia"/>
        </w:rPr>
        <w:t>:</w:t>
      </w:r>
    </w:p>
    <w:p w14:paraId="13C37BD8" w14:textId="1CCB1012" w:rsidR="005E3279" w:rsidRDefault="005E3279" w:rsidP="005E3279">
      <w:pPr>
        <w:jc w:val="center"/>
      </w:pPr>
      <m:oMathPara>
        <m:oMath>
          <m:r>
            <w:rPr>
              <w:rFonts w:ascii="Cambria Math" w:eastAsiaTheme="minorEastAsia" w:hAnsi="Cambria Math"/>
            </w:rPr>
            <w:lastRenderedPageBreak/>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18777E9E" w14:textId="77777777" w:rsidR="00FC4970" w:rsidRDefault="00E7653F" w:rsidP="00F772B3">
      <w:pPr>
        <w:ind w:firstLine="0"/>
        <w:rPr>
          <w:rFonts w:eastAsiaTheme="minorEastAsia"/>
        </w:rPr>
      </w:pPr>
      <w:r>
        <w:t xml:space="preserve">cioè il tasso di errore se il modello classificasse tutte le unità nella categoria maggioritaria, </w:t>
      </w:r>
      <w:r w:rsidR="005E3279">
        <w:t xml:space="preserve">allora: se </w:t>
      </w:r>
      <w:r>
        <w:t>la</w:t>
      </w:r>
      <w:r w:rsidR="005E3279">
        <w:t xml:space="preserve"> </w:t>
      </w:r>
      <w:r w:rsidR="005E3279" w:rsidRPr="005E3279">
        <w:rPr>
          <w:i/>
        </w:rPr>
        <w:t>prevalence</w:t>
      </w:r>
      <w:r>
        <w:t xml:space="preserve"> </w:t>
      </w:r>
      <w:r w:rsidR="005E3279">
        <w:rPr>
          <w:rFonts w:eastAsiaTheme="minorEastAsia"/>
        </w:rPr>
        <w:t xml:space="preserve">è particolarmente bassa, come ad esempio per malattie rare (dove può anche essere dello </w:t>
      </w:r>
      <m:oMath>
        <m:r>
          <w:rPr>
            <w:rFonts w:ascii="Cambria Math" w:eastAsiaTheme="minorEastAsia" w:hAnsi="Cambria Math"/>
          </w:rPr>
          <m:t>0.001</m:t>
        </m:r>
      </m:oMath>
      <w:r w:rsidR="00FC4970">
        <w:rPr>
          <w:rFonts w:eastAsiaTheme="minorEastAsia"/>
        </w:rPr>
        <w:t>)</w:t>
      </w:r>
      <w:r w:rsidR="005E3279">
        <w:rPr>
          <w:rFonts w:eastAsiaTheme="minorEastAsia"/>
        </w:rPr>
        <w:t xml:space="preserve">, allora se il modello predice sempre non-evento avra una </w:t>
      </w:r>
      <w:r w:rsidR="005E3279" w:rsidRPr="005E3279">
        <w:rPr>
          <w:rFonts w:eastAsiaTheme="minorEastAsia"/>
          <w:i/>
        </w:rPr>
        <w:t>accuracy</w:t>
      </w:r>
      <w:r w:rsidR="005E3279">
        <w:rPr>
          <w:rFonts w:eastAsiaTheme="minorEastAsia"/>
        </w:rPr>
        <w:t xml:space="preserve"> dello </w:t>
      </w:r>
      <m:oMath>
        <m:r>
          <w:rPr>
            <w:rFonts w:ascii="Cambria Math" w:eastAsiaTheme="minorEastAsia" w:hAnsi="Cambria Math"/>
          </w:rPr>
          <m:t>0.999</m:t>
        </m:r>
      </m:oMath>
      <w:r w:rsidR="005E3279">
        <w:rPr>
          <w:rFonts w:eastAsiaTheme="minorEastAsia"/>
        </w:rPr>
        <w:t xml:space="preserve"> e pur tuttavia sarà completamente inutile</w:t>
      </w:r>
      <w:r w:rsidR="005E3279">
        <w:rPr>
          <w:rStyle w:val="Rimandonotaapidipagina"/>
          <w:rFonts w:eastAsiaTheme="minorEastAsia"/>
        </w:rPr>
        <w:footnoteReference w:id="41"/>
      </w:r>
      <w:r w:rsidR="00716A47">
        <w:rPr>
          <w:rFonts w:eastAsiaTheme="minorEastAsia"/>
        </w:rPr>
        <w:t xml:space="preserve">. </w:t>
      </w:r>
    </w:p>
    <w:p w14:paraId="2999300C" w14:textId="3B412F7E" w:rsidR="00952F71" w:rsidRDefault="00716A47" w:rsidP="00FC4970">
      <w:r>
        <w:t>Per questo ha senso utilizzare delle metriche condizionate di accuratezza, e cioè:</w:t>
      </w:r>
    </w:p>
    <w:p w14:paraId="49FFE652" w14:textId="77777777" w:rsidR="00716A47" w:rsidRDefault="00716A47" w:rsidP="00716A47">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933C2DC" w14:textId="77777777" w:rsidR="00716A47" w:rsidRDefault="00716A47" w:rsidP="00716A47">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0F0084BF" w14:textId="5AF3C464" w:rsidR="00716A47" w:rsidRDefault="00E7653F" w:rsidP="00864AAF">
      <w:r>
        <w:t xml:space="preserve">TPR sta per </w:t>
      </w:r>
      <w:r w:rsidRPr="00E7653F">
        <w:rPr>
          <w:i/>
        </w:rPr>
        <w:t>true positive rate</w:t>
      </w:r>
      <w:r>
        <w:t>, e misura la probabilità che un evento venga classificato come tale dal modello in termini di proporzione di eventi classificati come positivi.</w:t>
      </w:r>
    </w:p>
    <w:p w14:paraId="52D6AED0" w14:textId="0573C415" w:rsidR="00E7653F" w:rsidRDefault="00E7653F" w:rsidP="00E7653F">
      <w:r>
        <w:t xml:space="preserve">TNR sta per </w:t>
      </w:r>
      <w:r w:rsidRPr="00E7653F">
        <w:rPr>
          <w:i/>
        </w:rPr>
        <w:t xml:space="preserve">true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5360191" w14:textId="224DCBF2" w:rsidR="00E7653F" w:rsidRDefault="00E7653F" w:rsidP="00E7653F">
      <w:r>
        <w:t>Due valori alti, prossimi all’unità, di questi due indicatori rappresentano una vista molto più robusta delle performance di un modello</w:t>
      </w:r>
      <w:r w:rsidR="003D24B9">
        <w:rPr>
          <w:rStyle w:val="Rimandonotaapidipagina"/>
        </w:rPr>
        <w:footnoteReference w:id="42"/>
      </w:r>
      <w:r>
        <w:t>.</w:t>
      </w:r>
      <w:r w:rsidR="003D24B9">
        <w:t xml:space="preserve"> </w:t>
      </w:r>
    </w:p>
    <w:p w14:paraId="70A8D8DB" w14:textId="1A311DDD" w:rsidR="00337D76" w:rsidRDefault="00337D76" w:rsidP="00E7653F">
      <w:r>
        <w:t>Tuttavia in molti settori di ricerca etichettare una unità come positiva ha un costo molto alto anche se poi si rivela un non-evento</w:t>
      </w:r>
      <w:r>
        <w:rPr>
          <w:rStyle w:val="Rimandonotaapidipagina"/>
        </w:rPr>
        <w:footnoteReference w:id="43"/>
      </w:r>
      <w:r>
        <w:t xml:space="preserve">; le performance di un modello sotto questo aspetto si misurano con l’indicatore di </w:t>
      </w:r>
      <w:r w:rsidRPr="00337D76">
        <w:rPr>
          <w:i/>
        </w:rPr>
        <w:t>precision</w:t>
      </w:r>
      <w:r>
        <w:t>:</w:t>
      </w:r>
    </w:p>
    <w:p w14:paraId="1CB2AC37" w14:textId="0181248C" w:rsidR="00337D76" w:rsidRDefault="00337D76" w:rsidP="00337D76">
      <m:oMathPara>
        <m:oMath>
          <m:r>
            <w:rPr>
              <w:rFonts w:ascii="Cambria Math" w:hAnsi="Cambria Math"/>
            </w:rPr>
            <w:lastRenderedPageBreak/>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44"/>
          </m:r>
        </m:oMath>
      </m:oMathPara>
    </w:p>
    <w:p w14:paraId="52D39612" w14:textId="457566D2" w:rsidR="00337D76" w:rsidRDefault="00337D76" w:rsidP="00337D76">
      <w:pPr>
        <w:ind w:firstLine="0"/>
        <w:rPr>
          <w:rFonts w:eastAsiaTheme="minorEastAsia"/>
        </w:rPr>
      </w:pPr>
      <w:r>
        <w:t>cioè la probabilità che un positivo sia un evento</w:t>
      </w:r>
      <w:r>
        <w:rPr>
          <w:rStyle w:val="Rimandonotaapidipagina"/>
        </w:rPr>
        <w:footnoteReference w:id="45"/>
      </w:r>
      <w:r w:rsidR="00B5725D">
        <w:t xml:space="preserve">. </w:t>
      </w:r>
      <w:r w:rsidR="00476CD1">
        <w:t xml:space="preserve">Se questo indicatore è prossimo a </w:t>
      </w:r>
      <m:oMath>
        <m:r>
          <w:rPr>
            <w:rFonts w:ascii="Cambria Math" w:hAnsi="Cambria Math"/>
          </w:rPr>
          <m:t>1</m:t>
        </m:r>
      </m:oMath>
      <w:r w:rsidR="00476CD1">
        <w:rPr>
          <w:rFonts w:eastAsiaTheme="minorEastAsia"/>
        </w:rPr>
        <w:t xml:space="preserve"> (cioè se i </w:t>
      </w:r>
      <w:r w:rsidR="00476CD1" w:rsidRPr="00476CD1">
        <w:rPr>
          <w:rFonts w:eastAsiaTheme="minorEastAsia"/>
          <w:i/>
        </w:rPr>
        <w:t>false positives</w:t>
      </w:r>
      <w:r w:rsidR="00476CD1">
        <w:rPr>
          <w:rFonts w:eastAsiaTheme="minorEastAsia"/>
        </w:rPr>
        <w:t xml:space="preserve"> sono irrilevanti) allora il modello comporta bassi costi in termini di </w:t>
      </w:r>
      <w:r w:rsidR="00476CD1" w:rsidRPr="00476CD1">
        <w:rPr>
          <w:rFonts w:eastAsiaTheme="minorEastAsia"/>
          <w:i/>
        </w:rPr>
        <w:t>precision</w:t>
      </w:r>
      <w:r w:rsidR="00476CD1">
        <w:rPr>
          <w:rFonts w:eastAsiaTheme="minorEastAsia"/>
        </w:rPr>
        <w:t>.</w:t>
      </w:r>
      <w:r w:rsidR="000D3357">
        <w:rPr>
          <w:rFonts w:eastAsiaTheme="minorEastAsia"/>
        </w:rPr>
        <w:t xml:space="preserve"> </w:t>
      </w:r>
    </w:p>
    <w:p w14:paraId="5F0C9B32" w14:textId="719FA5B1" w:rsidR="00857B24" w:rsidRDefault="00191D88" w:rsidP="00857B24">
      <w:r>
        <w:t xml:space="preserve">Da un punto di vista probabilistico si può considerare la </w:t>
      </w:r>
      <w:r w:rsidRPr="00191D88">
        <w:rPr>
          <w:i/>
        </w:rPr>
        <w:t>prevalence</w:t>
      </w:r>
      <w:r>
        <w:t xml:space="preserve"> la </w:t>
      </w:r>
      <w:r w:rsidR="00C807E9" w:rsidRPr="00C807E9">
        <w:rPr>
          <w:i/>
        </w:rPr>
        <w:t>precision</w:t>
      </w:r>
      <w:r w:rsidR="00C807E9">
        <w:t xml:space="preserve"> di un classificatore casuale. Un confronto </w:t>
      </w:r>
      <w:r w:rsidR="00C807E9" w:rsidRPr="00191D88">
        <w:rPr>
          <w:i/>
        </w:rPr>
        <w:t>prevalence</w:t>
      </w:r>
      <w:r w:rsidR="00C807E9">
        <w:t xml:space="preserve"> e </w:t>
      </w:r>
      <w:r w:rsidR="00C807E9" w:rsidRPr="00C807E9">
        <w:rPr>
          <w:i/>
        </w:rPr>
        <w:t>precision</w:t>
      </w:r>
      <w:r w:rsidR="00C807E9">
        <w:t xml:space="preserve"> ci direbbe quindi quanto il modello migliora le performance classificatorie del caso. A tal fine si usa il </w:t>
      </w:r>
      <w:r w:rsidR="00C807E9" w:rsidRPr="00C807E9">
        <w:rPr>
          <w:i/>
        </w:rPr>
        <w:t>positive diagnostic likelihood ratio</w:t>
      </w:r>
      <w:r w:rsidR="00C807E9">
        <w:t xml:space="preserve">, </w:t>
      </w:r>
      <w:r w:rsidR="00F133F8">
        <w:t>P</w:t>
      </w:r>
      <w:r w:rsidR="00C807E9">
        <w:t>DLR</w:t>
      </w:r>
      <w:r w:rsidR="00C807E9">
        <w:rPr>
          <w:rStyle w:val="Rimandonotaapidipagina"/>
        </w:rPr>
        <w:footnoteReference w:id="46"/>
      </w:r>
      <w:r w:rsidR="00306BEB">
        <w:t>, che confronta non le probabilità ma gli ODDS</w:t>
      </w:r>
      <w:r w:rsidR="00306BEB">
        <w:rPr>
          <w:rStyle w:val="Rimandonotaapidipagina"/>
        </w:rPr>
        <w:footnoteReference w:id="47"/>
      </w:r>
      <w:r w:rsidR="00AB18AF">
        <w:t>, il rapporto tra la probabilità e il suo complemento all’unità:</w:t>
      </w:r>
    </w:p>
    <w:p w14:paraId="21DEBE0E" w14:textId="77777777"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374B6D3" w14:textId="77777777" w:rsidR="00AB18AF" w:rsidRPr="00C807E9" w:rsidRDefault="00AB18AF" w:rsidP="00857B24"/>
    <w:p w14:paraId="14A47243" w14:textId="7B03A518" w:rsidR="00F133F8" w:rsidRPr="00476CD1" w:rsidRDefault="00F133F8" w:rsidP="00F133F8">
      <w:pPr>
        <w:ind w:firstLine="0"/>
      </w:pPr>
      <w:r>
        <w:t>che si può dimostrare</w:t>
      </w:r>
      <w:r>
        <w:rPr>
          <w:rStyle w:val="Rimandonotaapidipagina"/>
        </w:rPr>
        <w:footnoteReference w:id="48"/>
      </w:r>
      <w:r>
        <w:t xml:space="preserve"> essere identico a:</w:t>
      </w:r>
    </w:p>
    <w:p w14:paraId="22A03277" w14:textId="4AEE4C1E" w:rsidR="00F133F8" w:rsidRDefault="00F133F8" w:rsidP="00F133F8">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1CD94FEB" w14:textId="70F5BC83" w:rsidR="00E7653F" w:rsidRDefault="00F133F8" w:rsidP="00F133F8">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49"/>
        </m:r>
      </m:oMath>
      <w:r>
        <w:rPr>
          <w:rFonts w:eastAsiaTheme="minorEastAsia"/>
        </w:rPr>
        <w:t xml:space="preserve">, </w:t>
      </w:r>
      <w:r w:rsidR="001F2C49">
        <w:rPr>
          <w:rFonts w:eastAsiaTheme="minorEastAsia"/>
        </w:rPr>
        <w:t>ha buone performance</w:t>
      </w:r>
      <w:r w:rsidR="001F2C49">
        <w:rPr>
          <w:rStyle w:val="Rimandonotaapidipagina"/>
          <w:rFonts w:eastAsiaTheme="minorEastAsia"/>
        </w:rPr>
        <w:footnoteReference w:id="50"/>
      </w:r>
      <w:r w:rsidR="00B3366B">
        <w:rPr>
          <w:rFonts w:eastAsiaTheme="minorEastAsia"/>
        </w:rPr>
        <w:t>.</w:t>
      </w:r>
    </w:p>
    <w:p w14:paraId="5D424CF3" w14:textId="538EE30A" w:rsidR="004F1561" w:rsidRDefault="004F1561" w:rsidP="004F1561">
      <w:pPr>
        <w:pStyle w:val="Titolo3"/>
        <w:rPr>
          <w:rFonts w:eastAsiaTheme="minorEastAsia"/>
        </w:rPr>
      </w:pPr>
      <w:r>
        <w:rPr>
          <w:rFonts w:eastAsiaTheme="minorEastAsia"/>
        </w:rPr>
        <w:lastRenderedPageBreak/>
        <w:t>La curva ROC</w:t>
      </w:r>
    </w:p>
    <w:p w14:paraId="1EB1DAFB" w14:textId="03437EA0" w:rsidR="00916777" w:rsidRDefault="00AA4755" w:rsidP="00916777">
      <w:r>
        <w:t>La curv</w:t>
      </w:r>
      <w:r w:rsidR="00886869">
        <w:t>a ROC (</w:t>
      </w:r>
      <w:r w:rsidR="00886869" w:rsidRPr="00886869">
        <w:rPr>
          <w:i/>
        </w:rPr>
        <w:t>receiver operating characteristic</w:t>
      </w:r>
      <w:r w:rsidR="00886869">
        <w:t>), curva nata nel contesto della teoria dei segnali</w:t>
      </w:r>
      <w:r w:rsidR="00886869">
        <w:rPr>
          <w:rStyle w:val="Rimandonotaapidipagina"/>
        </w:rPr>
        <w:footnoteReference w:id="51"/>
      </w:r>
      <w:r w:rsidR="00886869">
        <w:t xml:space="preserve">, è un strumento utile a rappresentare le performance di un classificatore che assegna a ogni unità una probabilità (o comunque un punteggio </w:t>
      </w:r>
      <w:r w:rsidR="00D34C6C">
        <w:t>ordinatp</w:t>
      </w:r>
      <w:r w:rsidR="00886869">
        <w:t>) di appartenere alla classe “evento”. Poiché tuttavia il fine è la classificazione binaria, bisognerà in qualche modo stabilire una soglia di probabilità o score superata la quale si considera l’unità come appartenente alla classe “evento”, e sotto la quale si considera l’unità come appartenente alla classe “non-evento”</w:t>
      </w:r>
      <w:r w:rsidR="00886869">
        <w:rPr>
          <w:rStyle w:val="Rimandonotaapidipagina"/>
        </w:rPr>
        <w:footnoteReference w:id="52"/>
      </w:r>
      <w:r w:rsidR="00886869">
        <w:t>.</w:t>
      </w:r>
      <w:r w:rsidR="00486690">
        <w:t xml:space="preserve"> La curva ROC rappresenta sull’ascisse delle ascisse il FPR e su quello delle ordinate il TPR; ogni datapoint rappresenta una possibile soglia di </w:t>
      </w:r>
      <w:r w:rsidR="00486690" w:rsidRPr="00486690">
        <w:rPr>
          <w:i/>
        </w:rPr>
        <w:t>cut-off</w:t>
      </w:r>
      <w:r w:rsidR="00486690">
        <w:t>, della forma:</w:t>
      </w:r>
    </w:p>
    <w:p w14:paraId="1FC77657" w14:textId="4D2C2745" w:rsidR="00486690" w:rsidRPr="00486690" w:rsidRDefault="00486690" w:rsidP="00AF1604">
      <w:pPr>
        <w:jc w:val="center"/>
      </w:pPr>
      <w:r w:rsidRPr="00486690">
        <w:rPr>
          <w:noProof/>
          <w:lang w:eastAsia="it-IT"/>
        </w:rPr>
        <w:drawing>
          <wp:inline distT="0" distB="0" distL="0" distR="0" wp14:anchorId="31EB535D" wp14:editId="50D4C70A">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595" cy="3248660"/>
                    </a:xfrm>
                    <a:prstGeom prst="rect">
                      <a:avLst/>
                    </a:prstGeom>
                  </pic:spPr>
                </pic:pic>
              </a:graphicData>
            </a:graphic>
          </wp:inline>
        </w:drawing>
      </w:r>
    </w:p>
    <w:p w14:paraId="0D4C5BA6" w14:textId="438CDB00" w:rsidR="00B3366B" w:rsidRDefault="00486690" w:rsidP="00F133F8">
      <w:pPr>
        <w:ind w:firstLine="0"/>
        <w:rPr>
          <w:rFonts w:eastAsiaTheme="minorEastAsia"/>
        </w:rPr>
      </w:pPr>
      <w:r>
        <w:t>La retta rappresenta le performance di un classificatore casuale</w:t>
      </w:r>
      <w:r>
        <w:rPr>
          <w:rStyle w:val="Rimandonotaapidipagina"/>
        </w:rPr>
        <w:footnoteReference w:id="53"/>
      </w:r>
      <w:r w:rsidR="000B1D45">
        <w:t>;</w:t>
      </w:r>
      <w:r w:rsidR="00DA03EA">
        <w:t xml:space="preserve"> </w:t>
      </w:r>
      <w:r w:rsidR="00003B7C">
        <w:t xml:space="preserve">più la curva </w:t>
      </w:r>
      <w:r w:rsidR="004D1BA5">
        <w:t xml:space="preserve">va </w:t>
      </w:r>
      <w:r w:rsidR="00FC5274">
        <w:t>i</w:t>
      </w:r>
      <w:r w:rsidR="004D1BA5">
        <w:t>n alto a</w:t>
      </w:r>
      <w:r w:rsidR="00003B7C">
        <w:t xml:space="preserve"> sinistra più il c</w:t>
      </w:r>
      <w:r w:rsidR="00FC5274">
        <w:t>lassificatore performa bene (con TPR alto e FPR basso).</w:t>
      </w:r>
      <w:r w:rsidR="0034464B">
        <w:t xml:space="preserve"> </w:t>
      </w:r>
      <w:r w:rsidR="0034464B">
        <w:lastRenderedPageBreak/>
        <w:t>L’area sotto la curva ROC (AUROC) è un indicatore sintetico delle performance predittive del modello</w:t>
      </w:r>
      <w:r w:rsidR="00CC68A6">
        <w:rPr>
          <w:rStyle w:val="Rimandonotaapidipagina"/>
        </w:rPr>
        <w:footnoteReference w:id="54"/>
      </w:r>
      <w:r w:rsidR="0034464B">
        <w:t xml:space="preserve">: se </w:t>
      </w:r>
      <m:oMath>
        <m:r>
          <w:rPr>
            <w:rFonts w:ascii="Cambria Math" w:hAnsi="Cambria Math"/>
          </w:rPr>
          <m:t>AU</m:t>
        </m:r>
        <m:r>
          <w:rPr>
            <w:rFonts w:ascii="Cambria Math" w:hAnsi="Cambria Math"/>
          </w:rPr>
          <m:t>RO</m:t>
        </m:r>
        <m:r>
          <w:rPr>
            <w:rFonts w:ascii="Cambria Math" w:hAnsi="Cambria Math"/>
          </w:rPr>
          <m:t>C=1</m:t>
        </m:r>
      </m:oMath>
      <w:r w:rsidR="0034464B">
        <w:rPr>
          <w:rFonts w:eastAsiaTheme="minorEastAsia"/>
        </w:rPr>
        <w:t xml:space="preserve"> siamo di fronte a un classificatore perfetto, se </w:t>
      </w:r>
      <m:oMath>
        <m:r>
          <w:rPr>
            <w:rFonts w:ascii="Cambria Math" w:hAnsi="Cambria Math"/>
          </w:rPr>
          <m:t>AU</m:t>
        </m:r>
        <m:r>
          <w:rPr>
            <w:rFonts w:ascii="Cambria Math" w:hAnsi="Cambria Math"/>
          </w:rPr>
          <m:t>RO</m:t>
        </m:r>
        <m:r>
          <w:rPr>
            <w:rFonts w:ascii="Cambria Math" w:hAnsi="Cambria Math"/>
          </w:rPr>
          <m:t>C=0.5</m:t>
        </m:r>
      </m:oMath>
      <w:r w:rsidR="0034464B">
        <w:rPr>
          <w:rFonts w:eastAsiaTheme="minorEastAsia"/>
        </w:rPr>
        <w:t xml:space="preserve"> siamo di fronte a un classificatore casuale.</w:t>
      </w:r>
      <w:r w:rsidR="00523E0D">
        <w:rPr>
          <w:rFonts w:eastAsiaTheme="minorEastAsia"/>
        </w:rPr>
        <w:t xml:space="preserve"> In genere si considera un modello come sufficientemente performante se </w:t>
      </w:r>
      <m:oMath>
        <m:r>
          <w:rPr>
            <w:rFonts w:ascii="Cambria Math" w:hAnsi="Cambria Math"/>
          </w:rPr>
          <m:t>AU</m:t>
        </m:r>
        <m:r>
          <w:rPr>
            <w:rFonts w:ascii="Cambria Math" w:hAnsi="Cambria Math"/>
          </w:rPr>
          <m:t>RO</m:t>
        </m:r>
        <m:r>
          <w:rPr>
            <w:rFonts w:ascii="Cambria Math" w:hAnsi="Cambria Math"/>
          </w:rPr>
          <m:t>C≥0.7</m:t>
        </m:r>
        <m:r>
          <m:rPr>
            <m:sty m:val="p"/>
          </m:rPr>
          <w:rPr>
            <w:rStyle w:val="Rimandonotaapidipagina"/>
            <w:rFonts w:ascii="Cambria Math" w:eastAsiaTheme="minorEastAsia" w:hAnsi="Cambria Math"/>
          </w:rPr>
          <w:footnoteReference w:id="55"/>
        </m:r>
      </m:oMath>
      <w:r w:rsidR="00523E0D">
        <w:rPr>
          <w:rFonts w:eastAsiaTheme="minorEastAsia"/>
        </w:rPr>
        <w:t>.</w:t>
      </w:r>
      <w:r w:rsidR="00324BD5">
        <w:rPr>
          <w:rFonts w:eastAsiaTheme="minorEastAsia"/>
        </w:rPr>
        <w:t xml:space="preserve"> Peraltro si può dimostrare</w:t>
      </w:r>
      <w:r w:rsidR="00324BD5">
        <w:rPr>
          <w:rStyle w:val="Rimandonotaapidipagina"/>
          <w:rFonts w:eastAsiaTheme="minorEastAsia"/>
        </w:rPr>
        <w:footnoteReference w:id="56"/>
      </w:r>
      <w:r w:rsidR="00324BD5">
        <w:rPr>
          <w:rFonts w:eastAsiaTheme="minorEastAsia"/>
        </w:rPr>
        <w:t xml:space="preserve"> che l’AUROC è interpretabile come la probabilità che  a un evento </w:t>
      </w:r>
      <w:r w:rsidR="00324BD5">
        <w:t>casualmente considerato</w:t>
      </w:r>
      <w:r w:rsidR="00324BD5">
        <w:rPr>
          <w:rFonts w:eastAsiaTheme="minorEastAsia"/>
        </w:rPr>
        <w:t xml:space="preserve"> </w:t>
      </w:r>
      <w:r w:rsidR="00324BD5">
        <w:t>venga assegnata una probabilità stimata di essere evento più alta di quella assegnata a un non-evento casualmente considerato.</w:t>
      </w:r>
    </w:p>
    <w:p w14:paraId="361F64F6" w14:textId="760CE3F0" w:rsidR="007A51FA" w:rsidRDefault="005307F7" w:rsidP="005307F7">
      <w:r>
        <w:t xml:space="preserve">Tuttavia per stabilire la soglia di </w:t>
      </w:r>
      <w:r w:rsidRPr="005307F7">
        <w:rPr>
          <w:i/>
        </w:rPr>
        <w:t>cut-off</w:t>
      </w:r>
      <w:r>
        <w:t xml:space="preserve"> </w:t>
      </w:r>
      <w:r w:rsidR="00AF1604">
        <w:t>desiderata</w:t>
      </w:r>
      <w:r>
        <w:t xml:space="preserve"> ci sono grafici più utili</w:t>
      </w:r>
      <w:r>
        <w:rPr>
          <w:rStyle w:val="Rimandonotaapidipagina"/>
        </w:rPr>
        <w:footnoteReference w:id="57"/>
      </w:r>
      <w:r w:rsidR="00887A32">
        <w:t xml:space="preserve">; ad esempio quello che rappresenta in ascisse le soglie di </w:t>
      </w:r>
      <w:r w:rsidR="00887A32" w:rsidRPr="00887A32">
        <w:rPr>
          <w:i/>
        </w:rPr>
        <w:t>cut-off</w:t>
      </w:r>
      <w:r w:rsidR="00887A32">
        <w:t xml:space="preserve"> e in ordinata </w:t>
      </w:r>
      <w:r w:rsidR="007A51FA">
        <w:t>TPR e TNR:</w:t>
      </w:r>
    </w:p>
    <w:p w14:paraId="446B5754" w14:textId="77777777" w:rsidR="00AF1604" w:rsidRDefault="007A51FA" w:rsidP="00AF1604">
      <w:pPr>
        <w:jc w:val="center"/>
      </w:pPr>
      <w:r w:rsidRPr="007A51FA">
        <w:rPr>
          <w:noProof/>
          <w:lang w:eastAsia="it-IT"/>
        </w:rPr>
        <w:drawing>
          <wp:inline distT="0" distB="0" distL="0" distR="0" wp14:anchorId="05C8F5E3" wp14:editId="2D3732FE">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208" cy="2814698"/>
                    </a:xfrm>
                    <a:prstGeom prst="rect">
                      <a:avLst/>
                    </a:prstGeom>
                  </pic:spPr>
                </pic:pic>
              </a:graphicData>
            </a:graphic>
          </wp:inline>
        </w:drawing>
      </w:r>
    </w:p>
    <w:p w14:paraId="3C826161" w14:textId="6704C817" w:rsidR="005307F7" w:rsidRDefault="00887A32" w:rsidP="00AF1604">
      <w:pPr>
        <w:ind w:firstLine="0"/>
      </w:pPr>
      <w:r>
        <w:lastRenderedPageBreak/>
        <w:t xml:space="preserve"> </w:t>
      </w:r>
      <w:r w:rsidR="00AF1604">
        <w:t>piuttosto che le distribuzioni delle probabilità stimate per degli eventi e non-eventi:</w:t>
      </w:r>
    </w:p>
    <w:p w14:paraId="67916998" w14:textId="64863537" w:rsidR="00AF1604" w:rsidRDefault="00AF1604" w:rsidP="00AF1604">
      <w:pPr>
        <w:ind w:firstLine="0"/>
        <w:jc w:val="center"/>
      </w:pPr>
      <w:r w:rsidRPr="00AF1604">
        <w:rPr>
          <w:noProof/>
          <w:lang w:eastAsia="it-IT"/>
        </w:rPr>
        <w:drawing>
          <wp:inline distT="0" distB="0" distL="0" distR="0" wp14:anchorId="0BB472D3" wp14:editId="24A5B516">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800" cy="2159000"/>
                    </a:xfrm>
                    <a:prstGeom prst="rect">
                      <a:avLst/>
                    </a:prstGeom>
                  </pic:spPr>
                </pic:pic>
              </a:graphicData>
            </a:graphic>
          </wp:inline>
        </w:drawing>
      </w:r>
    </w:p>
    <w:p w14:paraId="6E92A8FB" w14:textId="185A1E14" w:rsidR="00705D5E" w:rsidRDefault="00AF1604" w:rsidP="00705D5E">
      <w:pPr>
        <w:ind w:firstLine="0"/>
      </w:pPr>
      <w:r>
        <w:t>dove all’ascisse ci sono le probabilità stimat</w:t>
      </w:r>
      <w:r w:rsidR="003F4E00">
        <w:t>e e alle ordinate la densità.</w:t>
      </w:r>
    </w:p>
    <w:p w14:paraId="5440A4A7" w14:textId="05ACDF8A" w:rsidR="00705D5E" w:rsidRDefault="00705D5E" w:rsidP="00705D5E">
      <w:r>
        <w:t xml:space="preserve">Da ultimo si può pensare di rappresentare sulle ascisse le varie soglie di </w:t>
      </w:r>
      <w:r w:rsidRPr="00705D5E">
        <w:rPr>
          <w:i/>
        </w:rPr>
        <w:t>cut-off</w:t>
      </w:r>
      <w:r>
        <w:t xml:space="preserve"> e sull’ordinata un qualsivoglia indice sintetico di performance desumibile dalla derivante matrice di confusione</w:t>
      </w:r>
      <w:r>
        <w:rPr>
          <w:rStyle w:val="Rimandonotaapidipagina"/>
        </w:rPr>
        <w:footnoteReference w:id="58"/>
      </w:r>
      <w:r w:rsidR="00D37DB8">
        <w:t>.</w:t>
      </w:r>
    </w:p>
    <w:p w14:paraId="5289A5DD" w14:textId="37DED298" w:rsidR="00D37DB8" w:rsidRDefault="00D37DB8" w:rsidP="00D37DB8">
      <w:pPr>
        <w:pStyle w:val="Titolo3"/>
      </w:pPr>
      <w:r>
        <w:t>I grafici di guadagno – gain charts</w:t>
      </w:r>
    </w:p>
    <w:p w14:paraId="7A41D39A" w14:textId="75CCA92B" w:rsidR="00D37DB8" w:rsidRDefault="00D37DB8" w:rsidP="0067013C">
      <w:pPr>
        <w:rPr>
          <w:rFonts w:eastAsiaTheme="minorEastAsia"/>
        </w:rPr>
      </w:pPr>
      <w:r>
        <w:t xml:space="preserve">Un’ultima vista che qui si vuole presentare alle performance di un classificatore, sempre nell’ipotesi che l’uscita del modello sia una probabilità o uno score </w:t>
      </w:r>
      <w:r w:rsidR="00D34C6C">
        <w:t>ordinato</w:t>
      </w:r>
      <w:r>
        <w:t>, è il grafico di guadagno.</w:t>
      </w:r>
      <w:r w:rsidR="00A51835">
        <w:t xml:space="preserve"> In pratica si divide il ca</w:t>
      </w:r>
      <w:r w:rsidR="0067013C">
        <w:t xml:space="preserve">mpione in quantili (di solito </w:t>
      </w:r>
      <m:oMath>
        <m:r>
          <w:rPr>
            <w:rFonts w:ascii="Cambria Math" w:hAnsi="Cambria Math"/>
          </w:rPr>
          <m:t>10</m:t>
        </m:r>
      </m:oMath>
      <w:r w:rsidR="00A51835">
        <w:t xml:space="preserve">) ordinati per punteggio del modello, dal punteggio più alto (maggior probabilità di essere un evento) al più basso. Per ogni quantile si calcola </w:t>
      </w:r>
      <w:r w:rsidR="0067013C">
        <w:t xml:space="preserve">la percentuale di eventi presente, confrontandola con quella complessiva (cioè la </w:t>
      </w:r>
      <w:r w:rsidR="0067013C" w:rsidRPr="0067013C">
        <w:rPr>
          <w:i/>
        </w:rPr>
        <w:t>prevalence</w:t>
      </w:r>
      <w:r w:rsidR="0067013C">
        <w:t xml:space="preserve">), vale a dire la percentuale di eventi che si troverebbe in un quantile estratto casualmente. Si graficano le due percentuali cumulate (la </w:t>
      </w:r>
      <w:r w:rsidR="0067013C" w:rsidRPr="0067013C">
        <w:rPr>
          <w:i/>
        </w:rPr>
        <w:t>baseline</w:t>
      </w:r>
      <w:r w:rsidR="0067013C">
        <w:t xml:space="preserve"> è chiaramente una retta)  e si verifica quanto spazio vi sia tra la spezzata del tasso di eventi nei quantili ordinati per probabilità stimata e la </w:t>
      </w:r>
      <w:r w:rsidR="0067013C" w:rsidRPr="0067013C">
        <w:rPr>
          <w:i/>
        </w:rPr>
        <w:t>baseline</w:t>
      </w:r>
      <w:r w:rsidR="0067013C">
        <w:rPr>
          <w:rStyle w:val="Rimandonotaapidipagina"/>
          <w:i/>
        </w:rPr>
        <w:footnoteReference w:id="59"/>
      </w:r>
      <w:r w:rsidR="0067013C">
        <w:t xml:space="preserve">. Ad esempio se il </w:t>
      </w:r>
      <m:oMath>
        <m:r>
          <w:rPr>
            <w:rFonts w:ascii="Cambria Math" w:hAnsi="Cambria Math"/>
          </w:rPr>
          <m:t>10%</m:t>
        </m:r>
      </m:oMath>
      <w:r w:rsidR="0067013C">
        <w:rPr>
          <w:rFonts w:eastAsiaTheme="minorEastAsia"/>
        </w:rPr>
        <w:t xml:space="preserve"> dei clienti di una banca </w:t>
      </w:r>
      <w:r w:rsidR="00DE1892">
        <w:rPr>
          <w:rFonts w:eastAsiaTheme="minorEastAsia"/>
        </w:rPr>
        <w:t xml:space="preserve">risponde favorevolmente a un outbound per una </w:t>
      </w:r>
      <w:r w:rsidR="00DE1892" w:rsidRPr="00DE1892">
        <w:rPr>
          <w:rFonts w:eastAsiaTheme="minorEastAsia"/>
          <w:i/>
        </w:rPr>
        <w:lastRenderedPageBreak/>
        <w:t>promozione</w:t>
      </w:r>
      <w:r w:rsidR="0067013C">
        <w:rPr>
          <w:rFonts w:eastAsiaTheme="minorEastAsia"/>
        </w:rPr>
        <w:t xml:space="preserve">, ma nel decile con le probabilità stimate di essere un evento </w:t>
      </w:r>
      <w:r w:rsidR="00DE1892">
        <w:rPr>
          <w:rFonts w:eastAsiaTheme="minorEastAsia"/>
        </w:rPr>
        <w:t xml:space="preserve">(si legga: favorevole alla promozione) </w:t>
      </w:r>
      <w:r w:rsidR="0067013C">
        <w:rPr>
          <w:rFonts w:eastAsiaTheme="minorEastAsia"/>
        </w:rPr>
        <w:t xml:space="preserve">più alte questa percentuale diventa </w:t>
      </w:r>
      <m:oMath>
        <m:r>
          <w:rPr>
            <w:rFonts w:ascii="Cambria Math" w:eastAsiaTheme="minorEastAsia" w:hAnsi="Cambria Math"/>
          </w:rPr>
          <m:t>40</m:t>
        </m:r>
        <m:r>
          <w:rPr>
            <w:rFonts w:ascii="Cambria Math" w:hAnsi="Cambria Math"/>
          </w:rPr>
          <m:t>%</m:t>
        </m:r>
      </m:oMath>
      <w:r w:rsidR="0067013C">
        <w:rPr>
          <w:rFonts w:eastAsiaTheme="minorEastAsia"/>
        </w:rPr>
        <w:t>, c’</w:t>
      </w:r>
      <w:r w:rsidR="00DE1892">
        <w:rPr>
          <w:rFonts w:eastAsiaTheme="minorEastAsia"/>
        </w:rPr>
        <w:t>è stato un guadagno:</w:t>
      </w:r>
    </w:p>
    <w:p w14:paraId="0843EB8B" w14:textId="060D7435" w:rsidR="00DE1892" w:rsidRPr="0067013C" w:rsidRDefault="00DE1892" w:rsidP="0067013C">
      <w:r w:rsidRPr="00DE1892">
        <w:rPr>
          <w:rFonts w:eastAsiaTheme="minorEastAsia"/>
          <w:noProof/>
          <w:lang w:eastAsia="it-IT"/>
        </w:rPr>
        <w:drawing>
          <wp:inline distT="0" distB="0" distL="0" distR="0" wp14:anchorId="4D2FD551" wp14:editId="3487C25C">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595" cy="2858135"/>
                    </a:xfrm>
                    <a:prstGeom prst="rect">
                      <a:avLst/>
                    </a:prstGeom>
                  </pic:spPr>
                </pic:pic>
              </a:graphicData>
            </a:graphic>
          </wp:inline>
        </w:drawing>
      </w:r>
    </w:p>
    <w:p w14:paraId="2CDE5E6B" w14:textId="77777777" w:rsidR="00952F71" w:rsidRDefault="00952F71" w:rsidP="00952F71"/>
    <w:p w14:paraId="6B4C9127" w14:textId="09E25472" w:rsidR="00FB0831" w:rsidRPr="00952F71" w:rsidRDefault="00324BD5" w:rsidP="00324BD5">
      <w:r>
        <w:t>Anche del grafico di guadagno si calcola l’area sottostante come indice sintetico, l’AULIFT</w:t>
      </w:r>
      <w:r>
        <w:rPr>
          <w:rStyle w:val="Rimandonotaapidipagina"/>
        </w:rPr>
        <w:footnoteReference w:id="60"/>
      </w:r>
      <w:r w:rsidR="007D055A">
        <w:t>.</w:t>
      </w:r>
      <w:bookmarkStart w:id="1" w:name="_GoBack"/>
      <w:bookmarkEnd w:id="1"/>
    </w:p>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61"/>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2"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62"/>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r>
        <w:rPr>
          <w:rFonts w:eastAsiaTheme="minorEastAsia"/>
        </w:rPr>
        <w:lastRenderedPageBreak/>
        <w:t xml:space="preserve">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63"/>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64"/>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65"/>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2"/>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66"/>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67"/>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68"/>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69"/>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lastRenderedPageBreak/>
        <w:t>di omoschedasticità, questa tecnica non si può usare</w:t>
      </w:r>
      <w:r w:rsidR="00EC26CE">
        <w:rPr>
          <w:rStyle w:val="Rimandonotaapidipagina"/>
        </w:rPr>
        <w:footnoteReference w:id="70"/>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71"/>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72"/>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3045C8"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3045C8"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73"/>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74"/>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w:t>
      </w:r>
      <w:r w:rsidR="007F4185">
        <w:lastRenderedPageBreak/>
        <w:t>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75"/>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76"/>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77"/>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3045C8"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3045C8"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78"/>
      </w:r>
      <w:r w:rsidR="00105287">
        <w:t xml:space="preserve">. Basterà quindi utilizzare la statistica test </w:t>
      </w:r>
      <m:oMath>
        <m:r>
          <w:rPr>
            <w:rFonts w:ascii="Cambria Math" w:hAnsi="Cambria Math"/>
          </w:rPr>
          <m:t>Z</m:t>
        </m:r>
      </m:oMath>
      <w:r w:rsidR="00105287" w:rsidRPr="007600F8">
        <w:rPr>
          <w:rStyle w:val="Rimandonotaapidipagina"/>
        </w:rPr>
        <w:footnoteReference w:id="79"/>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80"/>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81"/>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Esistono procedure di aggiustamento del livello di significatività che tengono conto di questo fenomeno, la più famosa delle quali è il metodo Bonferroni, che consiste nel diminuire in livello di significatività del test dividendo quello stabilito per T</w:t>
      </w:r>
      <w:r>
        <w:rPr>
          <w:rStyle w:val="Rimandonotaapidipagina"/>
        </w:rPr>
        <w:footnoteReference w:id="82"/>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83"/>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65B6CF19"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84"/>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grande</w:t>
      </w:r>
      <w:r w:rsidR="008D57B8">
        <w:rPr>
          <w:rStyle w:val="Rimandonotaapidipagina"/>
        </w:rPr>
        <w:footnoteReference w:id="85"/>
      </w:r>
      <w:r w:rsidR="00707389">
        <w:t xml:space="preserve">) o che un modello con scarso potere predittivo si adatti bene ai dati (in tal caso siamo di fronte a </w:t>
      </w:r>
      <w:r w:rsidR="00707389" w:rsidRPr="00707389">
        <w:rPr>
          <w:i/>
        </w:rPr>
        <w:t>overfitting</w:t>
      </w:r>
      <w:r w:rsidR="00707389">
        <w:t xml:space="preserve">). </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86"/>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adden e quella di Cox e Snell).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87"/>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88"/>
      </w:r>
      <w:r w:rsidR="00A33454" w:rsidRPr="002666C2">
        <w:rPr>
          <w:color w:val="000000" w:themeColor="text1"/>
        </w:rPr>
        <w:t>.</w:t>
      </w:r>
    </w:p>
    <w:p w14:paraId="78C0DD23" w14:textId="62487FDB" w:rsidR="000644E2" w:rsidRDefault="000644E2" w:rsidP="00452108">
      <w:r>
        <w:lastRenderedPageBreak/>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3045C8"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3045C8"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89"/>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90"/>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91"/>
      </w:r>
      <w:r w:rsidR="00C4384F">
        <w:t xml:space="preserve"> </w:t>
      </w:r>
      <w:r w:rsidR="00B61F55">
        <w:t xml:space="preserve">che </w:t>
      </w:r>
      <w:r w:rsidR="00837825">
        <w:t>l</w:t>
      </w:r>
      <w:r w:rsidR="00A85033">
        <w:t xml:space="preserve">a devianza è una </w:t>
      </w:r>
      <w:r w:rsidR="00A85033">
        <w:lastRenderedPageBreak/>
        <w:t xml:space="preserve">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3045C8"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92"/>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93"/>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94"/>
        </m:r>
      </m:oMath>
      <w:r w:rsidR="00C82670">
        <w:t xml:space="preserve">. Con molte variabili </w:t>
      </w:r>
      <w:r w:rsidR="00C82670">
        <w:lastRenderedPageBreak/>
        <w:t>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95"/>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96"/>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97"/>
      </w:r>
      <w:r w:rsidR="00A57E6D">
        <w:t>.</w:t>
      </w:r>
    </w:p>
    <w:p w14:paraId="7168EF1A" w14:textId="61A9A6D0" w:rsidR="0067291D" w:rsidRDefault="0067291D" w:rsidP="0067291D">
      <w:pPr>
        <w:pStyle w:val="Titolo1"/>
      </w:pPr>
      <w:r>
        <w:t>Selezione del miglior modello</w:t>
      </w:r>
    </w:p>
    <w:p w14:paraId="57A58466" w14:textId="7EEA1151"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98"/>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w:t>
      </w:r>
      <w:r w:rsidR="00324BD5">
        <w:t>AUROC</w:t>
      </w:r>
      <w:r w:rsidR="009F448F">
        <w:t xml:space="preserve">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99"/>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100"/>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101"/>
      </w:r>
      <w:r w:rsidR="00411A5F">
        <w:t>; questo può non verificarsi in ragione dei dati che si è raccolto (serie storiche piuttosto che campionamento a grappoli</w:t>
      </w:r>
      <w:r w:rsidR="00411A5F">
        <w:rPr>
          <w:rStyle w:val="Rimandonotaapidipagina"/>
        </w:rPr>
        <w:footnoteReference w:id="102"/>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103"/>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104"/>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105"/>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lastRenderedPageBreak/>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106"/>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107"/>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108"/>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109"/>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110"/>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111"/>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112"/>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113"/>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114"/>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115"/>
      </w:r>
      <w:r w:rsidR="00E44734">
        <w:t>.</w:t>
      </w:r>
      <w:r w:rsidR="00F76E67">
        <w:t xml:space="preserve"> Si potrebbe tentare anche la strada dell’ispezione grafica – sempre utile, che tuttavia soffrirebbe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lastRenderedPageBreak/>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6"/>
      <w:footerReference w:type="default" r:id="rId17"/>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D405B" w14:textId="77777777" w:rsidR="003045C8" w:rsidRDefault="003045C8" w:rsidP="00FB0831">
      <w:pPr>
        <w:spacing w:after="0" w:line="240" w:lineRule="auto"/>
      </w:pPr>
      <w:r>
        <w:separator/>
      </w:r>
    </w:p>
  </w:endnote>
  <w:endnote w:type="continuationSeparator" w:id="0">
    <w:p w14:paraId="7A0E0D5A" w14:textId="77777777" w:rsidR="003045C8" w:rsidRDefault="003045C8"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16BFE" w:rsidRDefault="00616BF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16BFE" w:rsidRDefault="00616BF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16BFE" w:rsidRDefault="00616BF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D055A">
      <w:rPr>
        <w:caps/>
        <w:noProof/>
        <w:color w:val="5B9BD5" w:themeColor="accent1"/>
      </w:rPr>
      <w:t>21</w:t>
    </w:r>
    <w:r>
      <w:rPr>
        <w:caps/>
        <w:color w:val="5B9BD5" w:themeColor="accent1"/>
      </w:rPr>
      <w:fldChar w:fldCharType="end"/>
    </w:r>
  </w:p>
  <w:p w14:paraId="5176805A" w14:textId="77777777" w:rsidR="00616BFE" w:rsidRDefault="00616BF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5CA83" w14:textId="77777777" w:rsidR="003045C8" w:rsidRDefault="003045C8" w:rsidP="00FB0831">
      <w:pPr>
        <w:spacing w:after="0" w:line="240" w:lineRule="auto"/>
      </w:pPr>
      <w:r>
        <w:separator/>
      </w:r>
    </w:p>
  </w:footnote>
  <w:footnote w:type="continuationSeparator" w:id="0">
    <w:p w14:paraId="61ED7FD0" w14:textId="77777777" w:rsidR="003045C8" w:rsidRDefault="003045C8" w:rsidP="00FB0831">
      <w:pPr>
        <w:spacing w:after="0" w:line="240" w:lineRule="auto"/>
      </w:pPr>
      <w:r>
        <w:continuationSeparator/>
      </w:r>
    </w:p>
  </w:footnote>
  <w:footnote w:id="1">
    <w:p w14:paraId="739E980F" w14:textId="6C19FEE8" w:rsidR="00616BFE" w:rsidRDefault="00616BFE">
      <w:pPr>
        <w:pStyle w:val="Testonotaapidipagina"/>
      </w:pPr>
      <w:r>
        <w:rPr>
          <w:rStyle w:val="Rimandonotaapidipagina"/>
        </w:rPr>
        <w:footnoteRef/>
      </w:r>
      <w:r>
        <w:t xml:space="preserve"> Fai una citazione qui</w:t>
      </w:r>
    </w:p>
  </w:footnote>
  <w:footnote w:id="2">
    <w:p w14:paraId="2F0231CB" w14:textId="646225AC" w:rsidR="00616BFE" w:rsidRDefault="00616BFE">
      <w:pPr>
        <w:pStyle w:val="Testonotaapidipagina"/>
      </w:pPr>
      <w:r>
        <w:rPr>
          <w:rStyle w:val="Rimandonotaapidipagina"/>
        </w:rPr>
        <w:footnoteRef/>
      </w:r>
      <w:r>
        <w:t xml:space="preserve"> per i dettagli vedi capitolo terzo</w:t>
      </w:r>
    </w:p>
  </w:footnote>
  <w:footnote w:id="3">
    <w:p w14:paraId="1DC795F2" w14:textId="2FDB8890" w:rsidR="00616BFE" w:rsidRDefault="00616BFE">
      <w:pPr>
        <w:pStyle w:val="Testonotaapidipagina"/>
      </w:pPr>
      <w:r>
        <w:rPr>
          <w:rStyle w:val="Rimandonotaapidipagina"/>
        </w:rPr>
        <w:footnoteRef/>
      </w:r>
      <w:r>
        <w:t xml:space="preserve"> grosso spunto da ISLR</w:t>
      </w:r>
    </w:p>
  </w:footnote>
  <w:footnote w:id="4">
    <w:p w14:paraId="7E7687F0" w14:textId="1EEAE022" w:rsidR="00616BFE" w:rsidRDefault="00616BFE">
      <w:pPr>
        <w:pStyle w:val="Testonotaapidipagina"/>
      </w:pPr>
      <w:r>
        <w:rPr>
          <w:rStyle w:val="Rimandonotaapidipagina"/>
        </w:rPr>
        <w:footnoteRef/>
      </w:r>
      <w:r>
        <w:t xml:space="preserve"> kuhn p. 2.</w:t>
      </w:r>
    </w:p>
  </w:footnote>
  <w:footnote w:id="5">
    <w:p w14:paraId="112968B1" w14:textId="756A9BF0" w:rsidR="00616BFE" w:rsidRDefault="00616BFE">
      <w:pPr>
        <w:pStyle w:val="Testonotaapidipagina"/>
      </w:pPr>
      <w:r>
        <w:rPr>
          <w:rStyle w:val="Rimandonotaapidipagina"/>
        </w:rPr>
        <w:footnoteRef/>
      </w:r>
      <w:r>
        <w:t xml:space="preserve"> Per questo e per i successivi due paragrafi è stato di grande ispirazione il secondo capitolo di ISLR, pp. 16-42</w:t>
      </w:r>
    </w:p>
  </w:footnote>
  <w:footnote w:id="6">
    <w:p w14:paraId="055029F0" w14:textId="7AB8CE86" w:rsidR="00616BFE" w:rsidRDefault="00616BFE">
      <w:pPr>
        <w:pStyle w:val="Testonotaapidipagina"/>
      </w:pPr>
      <w:r>
        <w:rPr>
          <w:rStyle w:val="Rimandonotaapidipagina"/>
        </w:rPr>
        <w:footnoteRef/>
      </w:r>
      <w:r>
        <w:t xml:space="preserve"> ISLR p. 16</w:t>
      </w:r>
    </w:p>
  </w:footnote>
  <w:footnote w:id="7">
    <w:p w14:paraId="2D95FE70" w14:textId="2A3638FD" w:rsidR="00616BFE" w:rsidRDefault="00616BFE">
      <w:pPr>
        <w:pStyle w:val="Testonotaapidipagina"/>
      </w:pPr>
      <w:r>
        <w:rPr>
          <w:rStyle w:val="Rimandonotaapidipagina"/>
        </w:rPr>
        <w:footnoteRef/>
      </w:r>
      <w:r>
        <w:t xml:space="preserve"> ISLR ‘. 18</w:t>
      </w:r>
    </w:p>
  </w:footnote>
  <w:footnote w:id="8">
    <w:p w14:paraId="4624A133" w14:textId="5445C605" w:rsidR="00616BFE" w:rsidRDefault="00616BFE">
      <w:pPr>
        <w:pStyle w:val="Testonotaapidipagina"/>
      </w:pPr>
      <w:r>
        <w:rPr>
          <w:rStyle w:val="Rimandonotaapidipagina"/>
        </w:rPr>
        <w:footnoteRef/>
      </w:r>
      <w:r>
        <w:t xml:space="preserve"> si può dimostrare, ISLR p.19, che questo limite coincide con la varianza di </w:t>
      </w:r>
      <m:oMath>
        <m:r>
          <w:rPr>
            <w:rFonts w:ascii="Cambria Math" w:hAnsi="Cambria Math"/>
          </w:rPr>
          <m:t>ε</m:t>
        </m:r>
      </m:oMath>
      <w:r>
        <w:rPr>
          <w:rFonts w:eastAsiaTheme="minorEastAsia"/>
        </w:rPr>
        <w:t>.</w:t>
      </w:r>
    </w:p>
  </w:footnote>
  <w:footnote w:id="9">
    <w:p w14:paraId="371FEFFC" w14:textId="63635826" w:rsidR="00616BFE" w:rsidRDefault="00616BFE">
      <w:pPr>
        <w:pStyle w:val="Testonotaapidipagina"/>
      </w:pPr>
      <w:r>
        <w:rPr>
          <w:rStyle w:val="Rimandonotaapidipagina"/>
        </w:rPr>
        <w:footnoteRef/>
      </w:r>
      <w:r>
        <w:t xml:space="preserve"> Kuhn p.4</w:t>
      </w:r>
    </w:p>
  </w:footnote>
  <w:footnote w:id="10">
    <w:p w14:paraId="6B5FE3A7" w14:textId="3A6E2AE1" w:rsidR="00616BFE" w:rsidRPr="00F128E6" w:rsidRDefault="00616BFE" w:rsidP="00144F1E">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al </w:t>
      </w:r>
      <w:r w:rsidRPr="00F128E6">
        <w:rPr>
          <w:i/>
        </w:rPr>
        <w:t>machine learning</w:t>
      </w:r>
      <w:r>
        <w:t xml:space="preserve">, Cfr. </w:t>
      </w:r>
      <w:r w:rsidRPr="00F128E6">
        <w:rPr>
          <w:b/>
        </w:rPr>
        <w:t>http://cs229.stanford.edu/materials.html</w:t>
      </w:r>
      <w:r>
        <w:t>.</w:t>
      </w:r>
    </w:p>
  </w:footnote>
  <w:footnote w:id="11">
    <w:p w14:paraId="73C2ABC9" w14:textId="56EE4646" w:rsidR="00616BFE" w:rsidRDefault="00616BFE" w:rsidP="00144F1E">
      <w:pPr>
        <w:pStyle w:val="Paragrafoelenco"/>
      </w:pPr>
      <w:r>
        <w:rPr>
          <w:rStyle w:val="Rimandonotaapidipagina"/>
        </w:rPr>
        <w:footnoteRef/>
      </w:r>
      <w:r>
        <w:t xml:space="preserve"> ISLR p. 23. Un esempio di modello non-parametrico è il KNN (</w:t>
      </w:r>
      <w:r w:rsidRPr="00326606">
        <w:rPr>
          <w:i/>
        </w:rPr>
        <w:t>K-nearest neighbors</w:t>
      </w:r>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Cfr. ESL p 14 ss.</w:t>
      </w:r>
    </w:p>
  </w:footnote>
  <w:footnote w:id="12">
    <w:p w14:paraId="289EA75C" w14:textId="62123BE3" w:rsidR="00616BFE" w:rsidRDefault="00616BFE">
      <w:pPr>
        <w:pStyle w:val="Testonotaapidipagina"/>
      </w:pPr>
      <w:r>
        <w:rPr>
          <w:rStyle w:val="Rimandonotaapidipagina"/>
        </w:rPr>
        <w:footnoteRef/>
      </w:r>
      <w:r>
        <w:t xml:space="preserve"> Vedi secondo capitolo per distinzione tra le due</w:t>
      </w:r>
    </w:p>
  </w:footnote>
  <w:footnote w:id="13">
    <w:p w14:paraId="735867DD" w14:textId="514B7C4A" w:rsidR="00616BFE" w:rsidRDefault="00616BFE">
      <w:pPr>
        <w:pStyle w:val="Testonotaapidipagina"/>
      </w:pPr>
      <w:r>
        <w:rPr>
          <w:rStyle w:val="Rimandonotaapidipagina"/>
        </w:rPr>
        <w:footnoteRef/>
      </w:r>
      <w:r>
        <w:t xml:space="preserve"> Manuale capitolo 19 (internet) pagina 15</w:t>
      </w:r>
    </w:p>
  </w:footnote>
  <w:footnote w:id="14">
    <w:p w14:paraId="6105AB72" w14:textId="24CAFA33" w:rsidR="00616BFE" w:rsidRDefault="00616BFE">
      <w:pPr>
        <w:pStyle w:val="Testonotaapidipagina"/>
      </w:pPr>
      <w:r>
        <w:rPr>
          <w:rStyle w:val="Rimandonotaapidipagina"/>
        </w:rPr>
        <w:footnoteRef/>
      </w:r>
      <w:r>
        <w:t xml:space="preserve"> Vedi secondo capitolo</w:t>
      </w:r>
    </w:p>
  </w:footnote>
  <w:footnote w:id="15">
    <w:p w14:paraId="3F9095DF" w14:textId="66D4F29E" w:rsidR="00616BFE" w:rsidRPr="009756F9" w:rsidRDefault="00616BFE">
      <w:pPr>
        <w:pStyle w:val="Testonotaapidipagina"/>
      </w:pPr>
      <w:r>
        <w:rPr>
          <w:rStyle w:val="Rimandonotaapidipagina"/>
        </w:rPr>
        <w:footnoteRef/>
      </w:r>
      <w:r>
        <w:t xml:space="preserve"> Cfr. </w:t>
      </w:r>
      <w:r w:rsidRPr="009756F9">
        <w:rPr>
          <w:b/>
        </w:rPr>
        <w:t>https://en.wikipedia.org/wiki/Sensitivity_and_specificity</w:t>
      </w:r>
      <w:r>
        <w:t>, nonostante la fonte non sia garantita da un editore o da una università la voce è reputata da chi scrive di ottima qualità e meritevole di essere citata nell’elaborato.</w:t>
      </w:r>
    </w:p>
  </w:footnote>
  <w:footnote w:id="16">
    <w:p w14:paraId="265F9CBC" w14:textId="34E03AAF" w:rsidR="00616BFE" w:rsidRDefault="00616BFE">
      <w:pPr>
        <w:pStyle w:val="Testonotaapidipagina"/>
      </w:pPr>
      <w:r>
        <w:rPr>
          <w:rStyle w:val="Rimandonotaapidipagina"/>
        </w:rPr>
        <w:footnoteRef/>
      </w:r>
      <w:r>
        <w:t xml:space="preserve"> Quella che Mitchell chiama la </w:t>
      </w:r>
      <w:r w:rsidRPr="00095656">
        <w:rPr>
          <w:i/>
        </w:rPr>
        <w:t>training experience</w:t>
      </w:r>
      <w:r>
        <w:t xml:space="preserve"> p.5</w:t>
      </w:r>
    </w:p>
  </w:footnote>
  <w:footnote w:id="17">
    <w:p w14:paraId="5605388B" w14:textId="285E71B2" w:rsidR="00616BFE" w:rsidRDefault="00616BFE">
      <w:pPr>
        <w:pStyle w:val="Testonotaapidipagina"/>
      </w:pPr>
      <w:r>
        <w:rPr>
          <w:rStyle w:val="Rimandonotaapidipagina"/>
        </w:rPr>
        <w:footnoteRef/>
      </w:r>
      <w:r>
        <w:t xml:space="preserve"> ISLR 30</w:t>
      </w:r>
    </w:p>
  </w:footnote>
  <w:footnote w:id="18">
    <w:p w14:paraId="39886501" w14:textId="487AF7F0" w:rsidR="00616BFE" w:rsidRDefault="00616BFE">
      <w:pPr>
        <w:pStyle w:val="Testonotaapidipagina"/>
      </w:pPr>
      <w:r>
        <w:rPr>
          <w:rStyle w:val="Rimandonotaapidipagina"/>
        </w:rPr>
        <w:footnoteRef/>
      </w:r>
      <w:r>
        <w:t xml:space="preserve"> ISLR 47</w:t>
      </w:r>
    </w:p>
  </w:footnote>
  <w:footnote w:id="19">
    <w:p w14:paraId="11F88A5D" w14:textId="75E017D3" w:rsidR="00616BFE" w:rsidRDefault="00616BFE">
      <w:pPr>
        <w:pStyle w:val="Testonotaapidipagina"/>
      </w:pPr>
      <w:r>
        <w:rPr>
          <w:rStyle w:val="Rimandonotaapidipagina"/>
        </w:rPr>
        <w:footnoteRef/>
      </w:r>
      <w:r>
        <w:t xml:space="preserve"> </w:t>
      </w:r>
      <w:r w:rsidRPr="00E87BBF">
        <w:t>http://people.duke.edu/~mababyak/papers/babyakregression.pdf</w:t>
      </w:r>
    </w:p>
  </w:footnote>
  <w:footnote w:id="20">
    <w:p w14:paraId="25CF2E08" w14:textId="127469E7" w:rsidR="00616BFE" w:rsidRDefault="00616BFE">
      <w:pPr>
        <w:pStyle w:val="Testonotaapidipagina"/>
      </w:pPr>
      <w:r>
        <w:rPr>
          <w:rStyle w:val="Rimandonotaapidipagina"/>
        </w:rPr>
        <w:footnoteRef/>
      </w:r>
      <w:r>
        <w:t xml:space="preserve"> ISLR 24</w:t>
      </w:r>
    </w:p>
  </w:footnote>
  <w:footnote w:id="21">
    <w:p w14:paraId="30DBD9BF" w14:textId="5E04E41D" w:rsidR="00616BFE" w:rsidRDefault="00616BFE">
      <w:pPr>
        <w:pStyle w:val="Testonotaapidipagina"/>
      </w:pPr>
      <w:r>
        <w:rPr>
          <w:rStyle w:val="Rimandonotaapidipagina"/>
        </w:rPr>
        <w:footnoteRef/>
      </w:r>
      <w:r>
        <w:t xml:space="preserve"> spunto da bishop 3</w:t>
      </w:r>
    </w:p>
  </w:footnote>
  <w:footnote w:id="22">
    <w:p w14:paraId="6FCBDA0E" w14:textId="68EBB9E3" w:rsidR="00616BFE" w:rsidRDefault="00616BFE">
      <w:pPr>
        <w:pStyle w:val="Testonotaapidipagina"/>
      </w:pPr>
      <w:r>
        <w:rPr>
          <w:rStyle w:val="Rimandonotaapidipagina"/>
        </w:rPr>
        <w:footnoteRef/>
      </w:r>
      <w:r>
        <w:t xml:space="preserve"> manuale 268</w:t>
      </w:r>
    </w:p>
  </w:footnote>
  <w:footnote w:id="23">
    <w:p w14:paraId="63032134" w14:textId="676C0E9A" w:rsidR="00616BFE" w:rsidRDefault="00616BFE">
      <w:pPr>
        <w:pStyle w:val="Testonotaapidipagina"/>
      </w:pPr>
      <w:r>
        <w:rPr>
          <w:rStyle w:val="Rimandonotaapidipagina"/>
        </w:rPr>
        <w:footnoteRef/>
      </w:r>
      <w:r>
        <w:t xml:space="preserve"> kuhn 97 e manuale 268</w:t>
      </w:r>
    </w:p>
  </w:footnote>
  <w:footnote w:id="24">
    <w:p w14:paraId="59FC554F" w14:textId="39F7D00E" w:rsidR="00616BFE" w:rsidRDefault="00616BFE">
      <w:pPr>
        <w:pStyle w:val="Testonotaapidipagina"/>
      </w:pPr>
      <w:r>
        <w:rPr>
          <w:rStyle w:val="Rimandonotaapidipagina"/>
        </w:rPr>
        <w:footnoteRef/>
      </w:r>
      <w:r>
        <w:t xml:space="preserve"> ISLR 35</w:t>
      </w:r>
    </w:p>
  </w:footnote>
  <w:footnote w:id="25">
    <w:p w14:paraId="0BD05866" w14:textId="3D707CE6" w:rsidR="00616BFE" w:rsidRDefault="00616BFE">
      <w:pPr>
        <w:pStyle w:val="Testonotaapidipagina"/>
      </w:pPr>
      <w:r>
        <w:rPr>
          <w:rStyle w:val="Rimandonotaapidipagina"/>
        </w:rPr>
        <w:footnoteRef/>
      </w:r>
      <w:r>
        <w:t xml:space="preserve"> denominazione generica che si ritrova in tutte le opere sull’argomento citate in questo elaborato.</w:t>
      </w:r>
    </w:p>
  </w:footnote>
  <w:footnote w:id="26">
    <w:p w14:paraId="736CD82F" w14:textId="77777777" w:rsidR="00616BFE" w:rsidRDefault="00616BFE" w:rsidP="00163BD9">
      <w:pPr>
        <w:pStyle w:val="Testonotaapidipagina"/>
      </w:pPr>
      <w:r>
        <w:rPr>
          <w:rStyle w:val="Rimandonotaapidipagina"/>
        </w:rPr>
        <w:footnoteRef/>
      </w:r>
      <w:r>
        <w:t xml:space="preserve"> Jmp 10.</w:t>
      </w:r>
    </w:p>
  </w:footnote>
  <w:footnote w:id="27">
    <w:p w14:paraId="09593E49" w14:textId="60776E41" w:rsidR="00616BFE" w:rsidRDefault="00616BFE">
      <w:pPr>
        <w:pStyle w:val="Testonotaapidipagina"/>
      </w:pPr>
      <w:r>
        <w:rPr>
          <w:rStyle w:val="Rimandonotaapidipagina"/>
        </w:rPr>
        <w:footnoteRef/>
      </w:r>
      <w:r>
        <w:t xml:space="preserve"> ESL 222</w:t>
      </w:r>
    </w:p>
  </w:footnote>
  <w:footnote w:id="28">
    <w:p w14:paraId="58A3BD41" w14:textId="1B16D9E5" w:rsidR="00616BFE" w:rsidRDefault="00616BFE">
      <w:pPr>
        <w:pStyle w:val="Testonotaapidipagina"/>
      </w:pPr>
      <w:r>
        <w:rPr>
          <w:rStyle w:val="Rimandonotaapidipagina"/>
        </w:rPr>
        <w:footnoteRef/>
      </w:r>
      <w:r>
        <w:t xml:space="preserve"> ESL 222</w:t>
      </w:r>
    </w:p>
  </w:footnote>
  <w:footnote w:id="29">
    <w:p w14:paraId="4B4B222F" w14:textId="7597FB95" w:rsidR="00616BFE" w:rsidRDefault="00616BFE">
      <w:pPr>
        <w:pStyle w:val="Testonotaapidipagina"/>
      </w:pPr>
      <w:r>
        <w:rPr>
          <w:rStyle w:val="Rimandonotaapidipagina"/>
        </w:rPr>
        <w:footnoteRef/>
      </w:r>
      <w:r>
        <w:t xml:space="preserve"> mithcel 111</w:t>
      </w:r>
    </w:p>
  </w:footnote>
  <w:footnote w:id="30">
    <w:p w14:paraId="15E5D400" w14:textId="18DABD35" w:rsidR="00616BFE" w:rsidRDefault="00616BFE">
      <w:pPr>
        <w:pStyle w:val="Testonotaapidipagina"/>
      </w:pPr>
      <w:r>
        <w:rPr>
          <w:rStyle w:val="Rimandonotaapidipagina"/>
        </w:rPr>
        <w:footnoteRef/>
      </w:r>
      <w:r>
        <w:t xml:space="preserve"> </w:t>
      </w:r>
      <w:hyperlink r:id="rId1" w:history="1">
        <w:r w:rsidRPr="000D24BD">
          <w:rPr>
            <w:rStyle w:val="Collegamentoipertestuale"/>
          </w:rPr>
          <w:t>http://ai.stanford.edu/~ang/papers/cv-final.pdf</w:t>
        </w:r>
      </w:hyperlink>
      <w:r>
        <w:t xml:space="preserve"> p.2</w:t>
      </w:r>
    </w:p>
  </w:footnote>
  <w:footnote w:id="31">
    <w:p w14:paraId="416B466E" w14:textId="53057DD4" w:rsidR="00616BFE" w:rsidRDefault="00616BFE">
      <w:pPr>
        <w:pStyle w:val="Testonotaapidipagina"/>
      </w:pPr>
      <w:r>
        <w:rPr>
          <w:rStyle w:val="Rimandonotaapidipagina"/>
        </w:rPr>
        <w:footnoteRef/>
      </w:r>
      <w:r>
        <w:t xml:space="preserve"> per una dimostrazione grafica con dati simulati cfr ISLR p- 178</w:t>
      </w:r>
    </w:p>
  </w:footnote>
  <w:footnote w:id="32">
    <w:p w14:paraId="7046B9FA" w14:textId="37D6FFCC" w:rsidR="00616BFE" w:rsidRDefault="00616BFE">
      <w:pPr>
        <w:pStyle w:val="Testonotaapidipagina"/>
      </w:pPr>
      <w:r>
        <w:rPr>
          <w:rStyle w:val="Rimandonotaapidipagina"/>
        </w:rPr>
        <w:footnoteRef/>
      </w:r>
      <w:r>
        <w:t xml:space="preserve"> kuhn 68</w:t>
      </w:r>
    </w:p>
  </w:footnote>
  <w:footnote w:id="33">
    <w:p w14:paraId="2EFC50B8" w14:textId="4AACE54A" w:rsidR="00616BFE" w:rsidRDefault="00616BFE">
      <w:pPr>
        <w:pStyle w:val="Testonotaapidipagina"/>
      </w:pPr>
      <w:r>
        <w:rPr>
          <w:rStyle w:val="Rimandonotaapidipagina"/>
        </w:rPr>
        <w:footnoteRef/>
      </w:r>
      <w:r>
        <w:t xml:space="preserve"> kuhn 70</w:t>
      </w:r>
    </w:p>
  </w:footnote>
  <w:footnote w:id="34">
    <w:p w14:paraId="6BEB8301" w14:textId="00E53652" w:rsidR="00616BFE" w:rsidRDefault="00616BFE">
      <w:pPr>
        <w:pStyle w:val="Testonotaapidipagina"/>
      </w:pPr>
      <w:r>
        <w:rPr>
          <w:rStyle w:val="Rimandonotaapidipagina"/>
        </w:rPr>
        <w:footnoteRef/>
      </w:r>
      <w:r>
        <w:t xml:space="preserve"> ISLR 181</w:t>
      </w:r>
    </w:p>
  </w:footnote>
  <w:footnote w:id="35">
    <w:p w14:paraId="4044E488" w14:textId="2CA8D5B6" w:rsidR="00616BFE" w:rsidRDefault="00616BFE">
      <w:pPr>
        <w:pStyle w:val="Testonotaapidipagina"/>
      </w:pPr>
      <w:r>
        <w:rPr>
          <w:rStyle w:val="Rimandonotaapidipagina"/>
        </w:rPr>
        <w:footnoteRef/>
      </w:r>
      <w:r>
        <w:t xml:space="preserve"> ISLR 183.</w:t>
      </w:r>
    </w:p>
  </w:footnote>
  <w:footnote w:id="36">
    <w:p w14:paraId="2473C392" w14:textId="52E272F8" w:rsidR="00616BFE" w:rsidRDefault="00616BFE">
      <w:pPr>
        <w:pStyle w:val="Testonotaapidipagina"/>
      </w:pPr>
      <w:r>
        <w:rPr>
          <w:rStyle w:val="Rimandonotaapidipagina"/>
        </w:rPr>
        <w:footnoteRef/>
      </w:r>
      <w:r>
        <w:t xml:space="preserve"> Vedi cap II per differenza con bontà di adattamento</w:t>
      </w:r>
    </w:p>
  </w:footnote>
  <w:footnote w:id="37">
    <w:p w14:paraId="0BBA6002" w14:textId="63949761" w:rsidR="00616BFE" w:rsidRDefault="00616BFE">
      <w:pPr>
        <w:pStyle w:val="Testonotaapidipagina"/>
      </w:pPr>
      <w:r>
        <w:rPr>
          <w:rStyle w:val="Rimandonotaapidipagina"/>
        </w:rPr>
        <w:footnoteRef/>
      </w:r>
      <w:r>
        <w:t xml:space="preserve"> kuhn 254</w:t>
      </w:r>
    </w:p>
  </w:footnote>
  <w:footnote w:id="38">
    <w:p w14:paraId="0CE1B076" w14:textId="63E2D5FC" w:rsidR="00111B32" w:rsidRDefault="00111B32">
      <w:pPr>
        <w:pStyle w:val="Testonotaapidipagina"/>
      </w:pPr>
      <w:r>
        <w:rPr>
          <w:rStyle w:val="Rimandonotaapidipagina"/>
        </w:rPr>
        <w:footnoteRef/>
      </w:r>
      <w:r>
        <w:t xml:space="preserve"> Cfr. per gli indicatori </w:t>
      </w:r>
      <w:r w:rsidR="003805FC" w:rsidRPr="003805FC">
        <w:t>http://www.dataschool.io/simple-guide-to-confusion-matrix-terminology/</w:t>
      </w:r>
    </w:p>
  </w:footnote>
  <w:footnote w:id="39">
    <w:p w14:paraId="05F29A8B" w14:textId="1B88A2F3" w:rsidR="004E1B44" w:rsidRDefault="004E1B44">
      <w:pPr>
        <w:pStyle w:val="Testonotaapidipagina"/>
      </w:pPr>
      <w:r>
        <w:rPr>
          <w:rStyle w:val="Rimandonotaapidipagina"/>
        </w:rPr>
        <w:footnoteRef/>
      </w:r>
      <w:r>
        <w:t xml:space="preserve"> questi indicatori li metto in inglese perché si usa così persino in italiano</w:t>
      </w:r>
    </w:p>
  </w:footnote>
  <w:footnote w:id="40">
    <w:p w14:paraId="398E35CA" w14:textId="6145E0AC" w:rsidR="005E3279" w:rsidRDefault="005E3279">
      <w:pPr>
        <w:pStyle w:val="Testonotaapidipagina"/>
      </w:pPr>
      <w:r>
        <w:rPr>
          <w:rStyle w:val="Rimandonotaapidipagina"/>
        </w:rPr>
        <w:footnoteRef/>
      </w:r>
      <w:r>
        <w:t xml:space="preserve"> che in statistica bayesiana è la probabilità a priori</w:t>
      </w:r>
    </w:p>
  </w:footnote>
  <w:footnote w:id="41">
    <w:p w14:paraId="6A852510" w14:textId="3E9D16ED" w:rsidR="005E3279" w:rsidRDefault="005E3279">
      <w:pPr>
        <w:pStyle w:val="Testonotaapidipagina"/>
      </w:pPr>
      <w:r>
        <w:rPr>
          <w:rStyle w:val="Rimandonotaapidipagina"/>
        </w:rPr>
        <w:footnoteRef/>
      </w:r>
      <w:r>
        <w:t xml:space="preserve"> per l’esempio vedi caffo statinf p. 18</w:t>
      </w:r>
      <w:r w:rsidR="00C14F05">
        <w:t xml:space="preserve"> e kuhn 255</w:t>
      </w:r>
      <w:r>
        <w:t xml:space="preserve">. </w:t>
      </w:r>
    </w:p>
  </w:footnote>
  <w:footnote w:id="42">
    <w:p w14:paraId="1D95BF4F" w14:textId="27E8B58E" w:rsidR="003D24B9" w:rsidRPr="003D24B9" w:rsidRDefault="003D24B9">
      <w:pPr>
        <w:pStyle w:val="Testonotaapidipagina"/>
      </w:pPr>
      <w:r>
        <w:rPr>
          <w:rStyle w:val="Rimandonotaapidipagina"/>
        </w:rPr>
        <w:footnoteRef/>
      </w:r>
      <w:r>
        <w:t xml:space="preserve"> Alcuni (cfr. kuhn p. 257) usano anche il </w:t>
      </w:r>
      <w:r w:rsidRPr="003D24B9">
        <w:rPr>
          <w:i/>
        </w:rPr>
        <w:t>J index</w:t>
      </w:r>
      <w:r>
        <w:t>, che si calcola sottraendo una unità alla somma di TPR e TNR.</w:t>
      </w:r>
    </w:p>
  </w:footnote>
  <w:footnote w:id="43">
    <w:p w14:paraId="56B4A861" w14:textId="77777777" w:rsidR="00337D76" w:rsidRDefault="00337D76" w:rsidP="00337D76">
      <w:pPr>
        <w:pStyle w:val="Testonotaapidipagina"/>
      </w:pPr>
      <w:r>
        <w:rPr>
          <w:rStyle w:val="Rimandonotaapidipagina"/>
        </w:rPr>
        <w:footnoteRef/>
      </w:r>
      <w:r>
        <w:t xml:space="preserve"> pensiamo ad un processo di business dove se un modello contro le frodi etichetta una transazione elettronica come positiva il cliente subirà ritardi nella definizione dell’acquisto anche se poi si rivelerà un non-evento; oppure a un test di screening per una malattia grave in cui il modello etichetta un paziente come positivo inducendolo a un sovraccarico emotivo notevole anche se poi si rivelerà come non-evento)</w:t>
      </w:r>
    </w:p>
  </w:footnote>
  <w:footnote w:id="44">
    <w:p w14:paraId="03FFF344" w14:textId="39D020F7" w:rsidR="00A6193D" w:rsidRDefault="00A6193D" w:rsidP="00A6193D">
      <w:pPr>
        <w:pStyle w:val="Testonotaapidipagina"/>
      </w:pPr>
      <w:r>
        <w:rPr>
          <w:rStyle w:val="Rimandonotaapidipagina"/>
        </w:rPr>
        <w:footnoteRef/>
      </w:r>
      <w:r>
        <w:t xml:space="preserve"> il complemento a </w:t>
      </w:r>
      <m:oMath>
        <m:r>
          <w:rPr>
            <w:rFonts w:ascii="Cambria Math" w:hAnsi="Cambria Math"/>
          </w:rPr>
          <m:t>1</m:t>
        </m:r>
      </m:oMath>
      <w:r>
        <w:t xml:space="preserve"> della precision è il </w:t>
      </w:r>
      <w:r w:rsidRPr="00A6193D">
        <w:rPr>
          <w:i/>
        </w:rPr>
        <w:t>false discovery rate</w:t>
      </w:r>
      <w:r>
        <w:t>.</w:t>
      </w:r>
    </w:p>
  </w:footnote>
  <w:footnote w:id="45">
    <w:p w14:paraId="448403E1" w14:textId="4080796E" w:rsidR="00337D76" w:rsidRDefault="00337D76">
      <w:pPr>
        <w:pStyle w:val="Testonotaapidipagina"/>
      </w:pPr>
      <w:r>
        <w:rPr>
          <w:rStyle w:val="Rimandonotaapidipagina"/>
        </w:rPr>
        <w:footnoteRef/>
      </w:r>
      <w:r>
        <w:t xml:space="preserve"> </w:t>
      </w:r>
      <w:r w:rsidR="00B5725D">
        <w:t>in sta</w:t>
      </w:r>
      <w:r>
        <w:t>tistica bayesiana la probabilità a posteriori.</w:t>
      </w:r>
    </w:p>
  </w:footnote>
  <w:footnote w:id="46">
    <w:p w14:paraId="4D9F98FA" w14:textId="1D647B22" w:rsidR="00C807E9" w:rsidRDefault="00C807E9">
      <w:pPr>
        <w:pStyle w:val="Testonotaapidipagina"/>
      </w:pPr>
      <w:r>
        <w:rPr>
          <w:rStyle w:val="Rimandonotaapidipagina"/>
        </w:rPr>
        <w:footnoteRef/>
      </w:r>
      <w:r>
        <w:t xml:space="preserve"> Statinf 19.</w:t>
      </w:r>
    </w:p>
  </w:footnote>
  <w:footnote w:id="47">
    <w:p w14:paraId="53D0026B" w14:textId="41945D4C" w:rsidR="00306BEB" w:rsidRDefault="00306BEB">
      <w:pPr>
        <w:pStyle w:val="Testonotaapidipagina"/>
      </w:pPr>
      <w:r>
        <w:rPr>
          <w:rStyle w:val="Rimandonotaapidipagina"/>
        </w:rPr>
        <w:footnoteRef/>
      </w:r>
      <w:r>
        <w:t xml:space="preserve"> Per il concetto di odds e odds ratio si rimanda al capitolo II</w:t>
      </w:r>
    </w:p>
  </w:footnote>
  <w:footnote w:id="48">
    <w:p w14:paraId="55E19589" w14:textId="1CE21E0C" w:rsidR="00F133F8" w:rsidRDefault="00F133F8">
      <w:pPr>
        <w:pStyle w:val="Testonotaapidipagina"/>
      </w:pPr>
      <w:r>
        <w:rPr>
          <w:rStyle w:val="Rimandonotaapidipagina"/>
        </w:rPr>
        <w:footnoteRef/>
      </w:r>
      <w:r>
        <w:t xml:space="preserve"> caffo statinf 19</w:t>
      </w:r>
    </w:p>
  </w:footnote>
  <w:footnote w:id="49">
    <w:p w14:paraId="57A730D8" w14:textId="41B7784B" w:rsidR="00B558BB" w:rsidRDefault="00B558BB">
      <w:pPr>
        <w:pStyle w:val="Testonotaapidipagina"/>
      </w:pPr>
      <w:r>
        <w:rPr>
          <w:rStyle w:val="Rimandonotaapidipagina"/>
        </w:rPr>
        <w:footnoteRef/>
      </w:r>
      <w:r w:rsidRPr="00B558BB">
        <w:t>http://ebp.uga.edu/courses/Chapter%204%20-%20Diagnosis%20I/6%20-%20Likelihood%20ratios.html</w:t>
      </w:r>
    </w:p>
  </w:footnote>
  <w:footnote w:id="50">
    <w:p w14:paraId="4D0CE50C" w14:textId="1DC38E19" w:rsidR="001F2C49" w:rsidRPr="001F2C49" w:rsidRDefault="001F2C49">
      <w:pPr>
        <w:pStyle w:val="Testonotaapidipagina"/>
      </w:pPr>
      <w:r>
        <w:rPr>
          <w:rStyle w:val="Rimandonotaapidipagina"/>
        </w:rPr>
        <w:footnoteRef/>
      </w:r>
      <w:r>
        <w:t xml:space="preserve"> il PDLR permette anche di valutare nella giusta luce una </w:t>
      </w:r>
      <w:r w:rsidRPr="001F2C49">
        <w:rPr>
          <w:i/>
        </w:rPr>
        <w:t>precision</w:t>
      </w:r>
      <w:r>
        <w:t xml:space="preserve"> bassa dovuta a una </w:t>
      </w:r>
      <w:r w:rsidRPr="001F2C49">
        <w:rPr>
          <w:i/>
        </w:rPr>
        <w:t>prevalence</w:t>
      </w:r>
      <w:r>
        <w:t xml:space="preserve"> estremamente bassa, in quanto mette </w:t>
      </w:r>
      <w:r w:rsidR="00D40BB7">
        <w:t>in rapporto le due grandezze, cfr. kuhn p. 258</w:t>
      </w:r>
    </w:p>
  </w:footnote>
  <w:footnote w:id="51">
    <w:p w14:paraId="5B8D5F0E" w14:textId="42A04E34" w:rsidR="00886869" w:rsidRDefault="00886869">
      <w:pPr>
        <w:pStyle w:val="Testonotaapidipagina"/>
      </w:pPr>
      <w:r>
        <w:rPr>
          <w:rStyle w:val="Rimandonotaapidipagina"/>
        </w:rPr>
        <w:footnoteRef/>
      </w:r>
      <w:r>
        <w:t xml:space="preserve"> </w:t>
      </w:r>
      <w:r w:rsidR="00486690">
        <w:t>credit 206</w:t>
      </w:r>
    </w:p>
  </w:footnote>
  <w:footnote w:id="52">
    <w:p w14:paraId="630E7AE1" w14:textId="686BF591" w:rsidR="00886869" w:rsidRDefault="00886869">
      <w:pPr>
        <w:pStyle w:val="Testonotaapidipagina"/>
      </w:pPr>
      <w:r>
        <w:rPr>
          <w:rStyle w:val="Rimandonotaapidipagina"/>
        </w:rPr>
        <w:footnoteRef/>
      </w:r>
      <w:r>
        <w:t xml:space="preserve"> kuhn 262</w:t>
      </w:r>
    </w:p>
  </w:footnote>
  <w:footnote w:id="53">
    <w:p w14:paraId="4B7D1591" w14:textId="35BAF729" w:rsidR="00DA03EA" w:rsidRDefault="00486690" w:rsidP="00DA03EA">
      <w:pPr>
        <w:pStyle w:val="Paragrafoelenco"/>
      </w:pPr>
      <w:r>
        <w:rPr>
          <w:rStyle w:val="Rimandonotaapidipagina"/>
        </w:rPr>
        <w:footnoteRef/>
      </w:r>
      <w:r>
        <w:t xml:space="preserve"> credit 207</w:t>
      </w:r>
      <w:r w:rsidR="000B1D45">
        <w:t xml:space="preserve">. Una dimostrazione molto semplice, per cui non si fanno riferimenti bibliografici in quanto sviluppata dall’autore, è la seguente. Sia </w:t>
      </w:r>
      <m:oMath>
        <m:r>
          <w:rPr>
            <w:rFonts w:ascii="Cambria Math" w:hAnsi="Cambria Math"/>
          </w:rPr>
          <m:t>n</m:t>
        </m:r>
      </m:oMath>
      <w:r w:rsidR="000B1D45">
        <w:rPr>
          <w:rFonts w:eastAsiaTheme="minorEastAsia"/>
        </w:rPr>
        <w:t xml:space="preserve"> la numerosità del campione, </w:t>
      </w:r>
      <m:oMath>
        <m:r>
          <w:rPr>
            <w:rFonts w:ascii="Cambria Math" w:eastAsiaTheme="minorEastAsia" w:hAnsi="Cambria Math"/>
          </w:rPr>
          <m:t>m</m:t>
        </m:r>
      </m:oMath>
      <w:r w:rsidR="000B1D45">
        <w:rPr>
          <w:rFonts w:eastAsiaTheme="minorEastAsia"/>
        </w:rPr>
        <w:t xml:space="preserve"> quella </w:t>
      </w:r>
      <w:r w:rsidR="00DA03EA">
        <w:rPr>
          <w:rFonts w:eastAsiaTheme="minorEastAsia"/>
        </w:rPr>
        <w:t xml:space="preserve">di un sottocampione estratto casualmente come insieme delle unità a cui casualmente sono state assegnate le </w:t>
      </w:r>
      <m:oMath>
        <m:r>
          <w:rPr>
            <w:rFonts w:ascii="Cambria Math" w:eastAsiaTheme="minorEastAsia" w:hAnsi="Cambria Math"/>
          </w:rPr>
          <m:t>m</m:t>
        </m:r>
      </m:oMath>
      <w:r w:rsidR="00DA03EA">
        <w:rPr>
          <w:rFonts w:eastAsiaTheme="minorEastAsia"/>
        </w:rPr>
        <w:t xml:space="preserve"> probabilità più alte di essere un evento.</w:t>
      </w:r>
      <w:r w:rsidR="000B1D45">
        <w:rPr>
          <w:rFonts w:eastAsiaTheme="minorEastAsia"/>
        </w:rPr>
        <w:t xml:space="preserve">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sidR="000B1D45">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sidR="00DA03EA">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rsidR="00DA03EA">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rsidR="00DA03EA">
        <w:t xml:space="preserve">. </w:t>
      </w:r>
    </w:p>
    <w:p w14:paraId="3C0756C1" w14:textId="0097EEE7" w:rsidR="000B1D45" w:rsidRDefault="000B1D45" w:rsidP="000B1D45"/>
    <w:p w14:paraId="5DB2E6C2" w14:textId="35D6A7FC" w:rsidR="00486690" w:rsidRDefault="00486690" w:rsidP="000B1D45"/>
  </w:footnote>
  <w:footnote w:id="54">
    <w:p w14:paraId="6513AC70" w14:textId="77777777" w:rsidR="00CC68A6" w:rsidRDefault="00CC68A6" w:rsidP="00CC68A6">
      <w:pPr>
        <w:pStyle w:val="Testonotaapidipagina"/>
      </w:pPr>
      <w:r>
        <w:rPr>
          <w:rStyle w:val="Rimandonotaapidipagina"/>
        </w:rPr>
        <w:footnoteRef/>
      </w:r>
      <w:r>
        <w:rPr>
          <w:rStyle w:val="Rimandonotaapidipagina"/>
        </w:rPr>
        <w:footnoteRef/>
      </w:r>
      <w:r>
        <w:t xml:space="preserve"> Credit 207</w:t>
      </w:r>
    </w:p>
  </w:footnote>
  <w:footnote w:id="55">
    <w:p w14:paraId="339A4632" w14:textId="77777777" w:rsidR="00CC68A6" w:rsidRDefault="00CC68A6" w:rsidP="00CC68A6">
      <w:pPr>
        <w:pStyle w:val="Testonotaapidipagina"/>
      </w:pPr>
      <w:r>
        <w:rPr>
          <w:rStyle w:val="Rimandonotaapidipagina"/>
        </w:rPr>
        <w:footnoteRef/>
      </w:r>
      <w:r>
        <w:t xml:space="preserve"> JMP cap 10</w:t>
      </w:r>
    </w:p>
  </w:footnote>
  <w:footnote w:id="56">
    <w:p w14:paraId="1D230B71" w14:textId="3FF6499B" w:rsidR="00324BD5" w:rsidRDefault="00324BD5">
      <w:pPr>
        <w:pStyle w:val="Testonotaapidipagina"/>
      </w:pPr>
      <w:r>
        <w:rPr>
          <w:rStyle w:val="Rimandonotaapidipagina"/>
        </w:rPr>
        <w:footnoteRef/>
      </w:r>
      <w:r>
        <w:t xml:space="preserve"> JMp 10</w:t>
      </w:r>
    </w:p>
  </w:footnote>
  <w:footnote w:id="57">
    <w:p w14:paraId="304EEA79" w14:textId="7DD048CB" w:rsidR="005307F7" w:rsidRDefault="005307F7">
      <w:pPr>
        <w:pStyle w:val="Testonotaapidipagina"/>
      </w:pPr>
      <w:r>
        <w:rPr>
          <w:rStyle w:val="Rimandonotaapidipagina"/>
        </w:rPr>
        <w:footnoteRef/>
      </w:r>
      <w:r>
        <w:t xml:space="preserve"> hosmer 5.2.4 di che ci si fa rimerfimento molto in questo passaggio</w:t>
      </w:r>
    </w:p>
  </w:footnote>
  <w:footnote w:id="58">
    <w:p w14:paraId="17D292BF" w14:textId="6ED42BF3" w:rsidR="00705D5E" w:rsidRDefault="00705D5E" w:rsidP="00705D5E">
      <w:pPr>
        <w:pStyle w:val="Paragrafoelenco"/>
      </w:pPr>
      <w:r>
        <w:rPr>
          <w:rStyle w:val="Rimandonotaapidipagina"/>
        </w:rPr>
        <w:footnoteRef/>
      </w:r>
      <w:r>
        <w:t xml:space="preserve"> Ad esempio l’</w:t>
      </w:r>
      <m:oMath>
        <m:sSub>
          <m:sSubPr>
            <m:ctrlPr>
              <w:rPr>
                <w:rFonts w:ascii="Cambria Math" w:hAnsi="Cambria Math"/>
              </w:rPr>
            </m:ctrlPr>
          </m:sSubPr>
          <m:e>
            <m:r>
              <w:rPr>
                <w:rFonts w:ascii="Cambria Math" w:hAnsi="Cambria Math"/>
              </w:rPr>
              <m:t>F</m:t>
            </m:r>
          </m:e>
          <m:sub>
            <m:r>
              <w:rPr>
                <w:rFonts w:ascii="Cambria Math" w:hAnsi="Cambria Math"/>
              </w:rPr>
              <m:t>1</m:t>
            </m:r>
          </m:sub>
        </m:sSub>
      </m:oMath>
      <w:r>
        <w:t xml:space="preserve"> score oppure il </w:t>
      </w:r>
      <w:r w:rsidRPr="00705D5E">
        <w:t>Fowlkes–Mallows index</w:t>
      </w:r>
      <w:r>
        <w:t xml:space="preserve"> score, cfr. </w:t>
      </w:r>
      <w:r w:rsidRPr="00705D5E">
        <w:t>https://en.wikipedia.org/wiki/F1_score</w:t>
      </w:r>
      <w:r>
        <w:t xml:space="preserve"> </w:t>
      </w:r>
    </w:p>
  </w:footnote>
  <w:footnote w:id="59">
    <w:p w14:paraId="68AB82F4" w14:textId="1CE8ADC9" w:rsidR="0067013C" w:rsidRDefault="0067013C">
      <w:pPr>
        <w:pStyle w:val="Testonotaapidipagina"/>
      </w:pPr>
      <w:r>
        <w:rPr>
          <w:rStyle w:val="Rimandonotaapidipagina"/>
        </w:rPr>
        <w:footnoteRef/>
      </w:r>
      <w:r>
        <w:t xml:space="preserve"> kuhn 265</w:t>
      </w:r>
    </w:p>
  </w:footnote>
  <w:footnote w:id="60">
    <w:p w14:paraId="7CEB7BF7" w14:textId="7EB8C10C" w:rsidR="00324BD5" w:rsidRDefault="00324BD5">
      <w:pPr>
        <w:pStyle w:val="Testonotaapidipagina"/>
      </w:pPr>
      <w:r>
        <w:rPr>
          <w:rStyle w:val="Rimandonotaapidipagina"/>
        </w:rPr>
        <w:footnoteRef/>
      </w:r>
      <w:r>
        <w:t xml:space="preserve"> </w:t>
      </w:r>
      <w:r w:rsidRPr="00324BD5">
        <w:t>http://mrvar.fdv.uni-lj.si/pub/mz/mz3.1/vuk.pdf</w:t>
      </w:r>
    </w:p>
  </w:footnote>
  <w:footnote w:id="61">
    <w:p w14:paraId="28D44AB2" w14:textId="32530218" w:rsidR="00616BFE" w:rsidRDefault="00616BF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62">
    <w:p w14:paraId="1B703EFB" w14:textId="3A74B67E" w:rsidR="00616BFE" w:rsidRDefault="00616BF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Marzo 2016)</w:t>
      </w:r>
      <w:r>
        <w:t>, p.4.</w:t>
      </w:r>
    </w:p>
  </w:footnote>
  <w:footnote w:id="63">
    <w:p w14:paraId="2041BE9A" w14:textId="528C59E7" w:rsidR="00616BFE" w:rsidRDefault="00616BFE" w:rsidP="00AA1D03">
      <w:pPr>
        <w:pStyle w:val="Paragrafoelenco"/>
      </w:pPr>
      <w:r>
        <w:rPr>
          <w:rStyle w:val="Rimandonotaapidipagina"/>
        </w:rPr>
        <w:footnoteRef/>
      </w:r>
      <w:r>
        <w:t xml:space="preserve"> </w:t>
      </w:r>
      <w:r w:rsidRPr="004A12C2">
        <w:rPr>
          <w:i/>
        </w:rPr>
        <w:t>Ivi</w:t>
      </w:r>
      <w:r>
        <w:t>, p.5.</w:t>
      </w:r>
    </w:p>
  </w:footnote>
  <w:footnote w:id="64">
    <w:p w14:paraId="6CCCD1DF" w14:textId="5EAAE11C" w:rsidR="00616BFE" w:rsidRDefault="00616BFE" w:rsidP="00AA1D03">
      <w:pPr>
        <w:pStyle w:val="Paragrafoelenco"/>
      </w:pPr>
      <w:r>
        <w:rPr>
          <w:rStyle w:val="Rimandonotaapidipagina"/>
        </w:rPr>
        <w:footnoteRef/>
      </w:r>
      <w:r>
        <w:t xml:space="preserve"> </w:t>
      </w:r>
      <w:r w:rsidRPr="004A12C2">
        <w:rPr>
          <w:i/>
        </w:rPr>
        <w:t>Ivi</w:t>
      </w:r>
      <w:r>
        <w:t>, p.3</w:t>
      </w:r>
    </w:p>
  </w:footnote>
  <w:footnote w:id="65">
    <w:p w14:paraId="63F736C6" w14:textId="2FAFFDDB" w:rsidR="00616BFE" w:rsidRDefault="00616BFE" w:rsidP="00AA1D03">
      <w:pPr>
        <w:pStyle w:val="Paragrafoelenco"/>
      </w:pPr>
      <w:r>
        <w:rPr>
          <w:rStyle w:val="Rimandonotaapidipagina"/>
        </w:rPr>
        <w:footnoteRef/>
      </w:r>
      <w:r>
        <w:t xml:space="preserve"> Per la scelta di rappresentare la funzione logistica in questa forma si è preso spunto da KLEINBAUM D – KLEIN MITCHEL, </w:t>
      </w:r>
      <w:r w:rsidRPr="00DE00E1">
        <w:rPr>
          <w:i/>
        </w:rPr>
        <w:t>Logistic regression. A self learning text</w:t>
      </w:r>
      <w:r>
        <w:t>, New York, 2010, p.5.</w:t>
      </w:r>
    </w:p>
  </w:footnote>
  <w:footnote w:id="66">
    <w:p w14:paraId="460E6325" w14:textId="351CB0BE" w:rsidR="00616BFE" w:rsidRDefault="00616BF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Op. cit</w:t>
      </w:r>
      <w:r>
        <w:t>, pp. 6-7.</w:t>
      </w:r>
    </w:p>
  </w:footnote>
  <w:footnote w:id="67">
    <w:p w14:paraId="239DFB58" w14:textId="7EDA7428" w:rsidR="00616BFE" w:rsidRDefault="00616BF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68">
    <w:p w14:paraId="470F6686" w14:textId="2765FB4B" w:rsidR="00616BFE" w:rsidRDefault="00616BFE" w:rsidP="00AA1D03">
      <w:pPr>
        <w:pStyle w:val="Paragrafoelenco"/>
      </w:pPr>
      <w:r>
        <w:rPr>
          <w:rStyle w:val="Rimandonotaapidipagina"/>
        </w:rPr>
        <w:footnoteRef/>
      </w:r>
      <w:r>
        <w:t xml:space="preserve"> KLEINBAUM D – KLEIN MITCHEL, </w:t>
      </w:r>
      <w:r w:rsidRPr="00185BF2">
        <w:rPr>
          <w:i/>
        </w:rPr>
        <w:t>Op. cit</w:t>
      </w:r>
      <w:r>
        <w:t>, p. 18.</w:t>
      </w:r>
    </w:p>
  </w:footnote>
  <w:footnote w:id="69">
    <w:p w14:paraId="0424398A" w14:textId="51EF5CC9" w:rsidR="00616BFE" w:rsidRDefault="00616BF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r w:rsidRPr="00EC5C64">
        <w:rPr>
          <w:i/>
        </w:rPr>
        <w:t>Foundations of linear and generalized linear models</w:t>
      </w:r>
      <w:r>
        <w:t xml:space="preserve"> (Internet), New York, 2015, par. 1.1.</w:t>
      </w:r>
    </w:p>
  </w:footnote>
  <w:footnote w:id="70">
    <w:p w14:paraId="267CA388" w14:textId="6EFF893A" w:rsidR="00616BFE" w:rsidRPr="005734ED"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71">
    <w:p w14:paraId="7BF73419" w14:textId="05D116A9" w:rsidR="00616BFE" w:rsidRDefault="00616BFE" w:rsidP="00776AD8">
      <w:pPr>
        <w:pStyle w:val="Paragrafoelenco"/>
      </w:pPr>
      <w:r>
        <w:rPr>
          <w:rStyle w:val="Rimandonotaapidipagina"/>
        </w:rPr>
        <w:footnoteRef/>
      </w:r>
      <w:r>
        <w:t xml:space="preserve"> HASTIE T – TIBSHIRANI R – FRIEDMANJ., </w:t>
      </w:r>
      <w:r w:rsidRPr="00A41DB0">
        <w:rPr>
          <w:i/>
        </w:rPr>
        <w:t>The elements of statistical learning</w:t>
      </w:r>
      <w:r>
        <w:t>, New York, 2009, p. 31.</w:t>
      </w:r>
    </w:p>
  </w:footnote>
  <w:footnote w:id="72">
    <w:p w14:paraId="14D3C558" w14:textId="373C20B2" w:rsidR="00616BFE" w:rsidRPr="00DE4F9F" w:rsidRDefault="00616BF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BORRA S. - DI CIACCIO A.,</w:t>
      </w:r>
      <w:r>
        <w:t xml:space="preserve"> </w:t>
      </w:r>
      <w:r w:rsidRPr="00297F46">
        <w:rPr>
          <w:i/>
        </w:rPr>
        <w:t>Op. cit</w:t>
      </w:r>
      <w:r>
        <w:t>, p. 267 ss.</w:t>
      </w:r>
    </w:p>
    <w:p w14:paraId="3F118234" w14:textId="11B6B123" w:rsidR="00616BFE" w:rsidRDefault="00616BFE">
      <w:pPr>
        <w:pStyle w:val="Testonotaapidipagina"/>
      </w:pPr>
    </w:p>
  </w:footnote>
  <w:footnote w:id="73">
    <w:p w14:paraId="7186041E" w14:textId="11B98C20" w:rsidR="00616BFE" w:rsidRDefault="00616BFE" w:rsidP="00776AD8">
      <w:pPr>
        <w:pStyle w:val="Paragrafoelenco"/>
      </w:pPr>
      <w:r>
        <w:rPr>
          <w:rStyle w:val="Rimandonotaapidipagina"/>
        </w:rPr>
        <w:footnoteRef/>
      </w:r>
      <w:r>
        <w:t xml:space="preserve"> CAFFO B., </w:t>
      </w:r>
      <w:r w:rsidRPr="0031433B">
        <w:rPr>
          <w:i/>
        </w:rPr>
        <w:t>Regression models for data science in R</w:t>
      </w:r>
      <w:r>
        <w:t xml:space="preserve">, Baltimore, 2015, p. 53 ss, dove ci sono anche curiosi esempi del </w:t>
      </w:r>
      <w:r w:rsidRPr="00B1321B">
        <w:rPr>
          <w:i/>
        </w:rPr>
        <w:t>Simpon’s Paradox</w:t>
      </w:r>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74">
    <w:p w14:paraId="4811A4E2" w14:textId="4D9AB7AE" w:rsidR="00616BFE" w:rsidRDefault="00616BFE" w:rsidP="00776AD8">
      <w:pPr>
        <w:pStyle w:val="Paragrafoelenco"/>
      </w:pPr>
      <w:r>
        <w:rPr>
          <w:rStyle w:val="Rimandonotaapidipagina"/>
        </w:rPr>
        <w:footnoteRef/>
      </w:r>
      <w:r>
        <w:t xml:space="preserve"> CAFFO B., </w:t>
      </w:r>
      <w:r>
        <w:rPr>
          <w:i/>
        </w:rPr>
        <w:t>Statistical inference for data science</w:t>
      </w:r>
      <w:r>
        <w:t>, Baltimore, 2015, p. 79 ss.</w:t>
      </w:r>
    </w:p>
  </w:footnote>
  <w:footnote w:id="75">
    <w:p w14:paraId="592F2B7C" w14:textId="65B12DE1" w:rsidR="00616BFE" w:rsidRDefault="00616BFE" w:rsidP="00776AD8">
      <w:pPr>
        <w:pStyle w:val="Paragrafoelenco"/>
      </w:pPr>
      <w:r>
        <w:rPr>
          <w:rStyle w:val="Rimandonotaapidipagina"/>
        </w:rPr>
        <w:footnoteRef/>
      </w:r>
      <w:r>
        <w:t xml:space="preserve"> Cfr KLEINBAUM D – KLEIN MITCHEL, </w:t>
      </w:r>
      <w:r w:rsidRPr="00185BF2">
        <w:rPr>
          <w:i/>
        </w:rPr>
        <w:t>Op. cit</w:t>
      </w:r>
      <w:r>
        <w:t>, p. 135.</w:t>
      </w:r>
    </w:p>
  </w:footnote>
  <w:footnote w:id="76">
    <w:p w14:paraId="70E8FB57" w14:textId="3DF9B188" w:rsidR="00616BFE" w:rsidRPr="005734ED" w:rsidRDefault="00616BF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616BFE" w:rsidRDefault="00616BFE">
      <w:pPr>
        <w:pStyle w:val="Testonotaapidipagina"/>
      </w:pPr>
    </w:p>
  </w:footnote>
  <w:footnote w:id="77">
    <w:p w14:paraId="479443A7" w14:textId="78FD1504"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78">
    <w:p w14:paraId="25A054AC" w14:textId="3C1BABA0" w:rsidR="00616BFE" w:rsidRDefault="00616BFE" w:rsidP="00776AD8">
      <w:pPr>
        <w:pStyle w:val="Paragrafoelenco"/>
      </w:pPr>
      <w:r>
        <w:rPr>
          <w:rStyle w:val="Rimandonotaapidipagina"/>
        </w:rPr>
        <w:footnoteRef/>
      </w:r>
      <w:r>
        <w:t xml:space="preserve"> KLEINBAUM D – KLEIN MITCHEL, </w:t>
      </w:r>
      <w:r w:rsidRPr="00185BF2">
        <w:rPr>
          <w:i/>
        </w:rPr>
        <w:t>Op. cit</w:t>
      </w:r>
      <w:r>
        <w:t>, p. 139.</w:t>
      </w:r>
    </w:p>
  </w:footnote>
  <w:footnote w:id="79">
    <w:p w14:paraId="6C62D347" w14:textId="2E797B69" w:rsidR="00616BFE" w:rsidRDefault="00616BFE" w:rsidP="00776AD8">
      <w:pPr>
        <w:pStyle w:val="Paragrafoelenco"/>
      </w:pPr>
      <w:r>
        <w:rPr>
          <w:rStyle w:val="Rimandonotaapidipagina"/>
        </w:rPr>
        <w:footnoteRef/>
      </w:r>
      <w:r>
        <w:t xml:space="preserve"> CAFFO B., Statistical inference for data science, cit.</w:t>
      </w:r>
      <w:r w:rsidRPr="009F50F7">
        <w:t>,</w:t>
      </w:r>
      <w:r>
        <w:t xml:space="preserve"> p. 81.</w:t>
      </w:r>
    </w:p>
  </w:footnote>
  <w:footnote w:id="80">
    <w:p w14:paraId="6B9DCD7C" w14:textId="25EC0FAE" w:rsidR="00616BFE" w:rsidRPr="00323D8B" w:rsidRDefault="00616BFE" w:rsidP="00776AD8">
      <w:pPr>
        <w:pStyle w:val="Paragrafoelenco"/>
      </w:pPr>
      <w:r>
        <w:rPr>
          <w:rStyle w:val="Rimandonotaapidipagina"/>
        </w:rPr>
        <w:footnoteRef/>
      </w:r>
      <w:r>
        <w:t xml:space="preserve"> KLEINBAUM D – KLEIN MITCHEL, </w:t>
      </w:r>
      <w:r w:rsidRPr="00185BF2">
        <w:t>Op. cit</w:t>
      </w:r>
      <w:r>
        <w:t>, p. 280.</w:t>
      </w:r>
    </w:p>
  </w:footnote>
  <w:footnote w:id="81">
    <w:p w14:paraId="56740E53" w14:textId="7D24EBE4" w:rsidR="00616BFE" w:rsidRDefault="00616BFE" w:rsidP="00776AD8">
      <w:pPr>
        <w:pStyle w:val="Paragrafoelenco"/>
      </w:pPr>
      <w:r>
        <w:rPr>
          <w:rStyle w:val="Rimandonotaapidipagina"/>
        </w:rPr>
        <w:footnoteRef/>
      </w:r>
      <w:r>
        <w:t xml:space="preserve"> </w:t>
      </w:r>
      <w:r w:rsidRPr="00323D8B">
        <w:t>Ibidem</w:t>
      </w:r>
      <w:r>
        <w:t>.</w:t>
      </w:r>
    </w:p>
  </w:footnote>
  <w:footnote w:id="82">
    <w:p w14:paraId="2054DE91" w14:textId="1E8B3742" w:rsidR="00616BFE" w:rsidRDefault="00616BFE" w:rsidP="00776AD8">
      <w:pPr>
        <w:pStyle w:val="Paragrafoelenco"/>
      </w:pPr>
      <w:r>
        <w:rPr>
          <w:rStyle w:val="Rimandonotaapidipagina"/>
        </w:rPr>
        <w:footnoteRef/>
      </w:r>
      <w:r>
        <w:t xml:space="preserve"> Sul fatto che la correzione di Bonferroni si possa usare anche nella regressione multipla Cfr. MUNFROM D. – PERRETT J. – SCHAFFER J. – PICCONE A. – ROOZEBOOM M., </w:t>
      </w:r>
      <w:r w:rsidRPr="009440A9">
        <w:t>Bonferroni adjustments in tests for regression coefficients</w:t>
      </w:r>
      <w:r>
        <w:t xml:space="preserve"> (Internet), 2006, disponibile su </w:t>
      </w:r>
      <w:r w:rsidRPr="00CE0EE9">
        <w:rPr>
          <w:b/>
        </w:rPr>
        <w:t>https://www.amstat.org/meetings/jsm/2008/onlineprogram/index.cfm?fuseaction=abstract_details&amp;abstractid=301702</w:t>
      </w:r>
      <w:r>
        <w:t xml:space="preserve"> </w:t>
      </w:r>
      <w:r w:rsidRPr="00DE00E1">
        <w:t>(data di ultima consultazione: Marzo 2016)</w:t>
      </w:r>
      <w:r>
        <w:t>, p.1 ss.</w:t>
      </w:r>
    </w:p>
  </w:footnote>
  <w:footnote w:id="83">
    <w:p w14:paraId="3F19350A" w14:textId="5005D655" w:rsidR="00616BFE" w:rsidRDefault="00616BF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84">
    <w:p w14:paraId="3C429483" w14:textId="775AC0C5" w:rsidR="00616BFE" w:rsidRPr="000D123A" w:rsidRDefault="00616BFE" w:rsidP="00776AD8">
      <w:pPr>
        <w:pStyle w:val="Paragrafoelenco"/>
      </w:pPr>
      <w:r>
        <w:rPr>
          <w:rStyle w:val="Rimandonotaapidipagina"/>
        </w:rPr>
        <w:footnoteRef/>
      </w:r>
      <w:r>
        <w:t xml:space="preserve"> </w:t>
      </w:r>
      <w:r w:rsidRPr="000D123A">
        <w:t xml:space="preserve">ALLISON P., </w:t>
      </w:r>
      <w:r w:rsidRPr="000D123A">
        <w:rPr>
          <w:i/>
        </w:rPr>
        <w:t>Measures of Fit for Logistic Regression</w:t>
      </w:r>
      <w:r w:rsidRPr="000D123A">
        <w:t xml:space="preserve"> (Internet), 2014, disponibile su </w:t>
      </w:r>
      <w:r w:rsidRPr="000D123A">
        <w:rPr>
          <w:b/>
        </w:rPr>
        <w:t xml:space="preserve">http://statisticalhorizons.com/wp-content/uploads/GOFForLogisticRegression-Paper.pdf </w:t>
      </w:r>
      <w:r w:rsidRPr="000D123A">
        <w:t>(data di ultima consultazione: Marzo 2016)</w:t>
      </w:r>
      <w:r>
        <w:t>, p.1 ss. Buona parte di questo paragrafo si ispira questo lavoro del Professor Allison della University of Pennsylvaina.</w:t>
      </w:r>
    </w:p>
  </w:footnote>
  <w:footnote w:id="85">
    <w:p w14:paraId="3133CC99" w14:textId="7C34CC7F" w:rsidR="00616BFE" w:rsidRDefault="00616BFE" w:rsidP="008D57B8">
      <w:pPr>
        <w:pStyle w:val="Paragrafoelenco"/>
      </w:pPr>
      <w:r>
        <w:rPr>
          <w:rStyle w:val="Rimandonotaapidipagina"/>
        </w:rPr>
        <w:footnoteRef/>
      </w:r>
      <w:r>
        <w:t xml:space="preserve"> HOSMER D. – LEMESHOW S., </w:t>
      </w:r>
      <w:r w:rsidRPr="001B161F">
        <w:rPr>
          <w:i/>
        </w:rPr>
        <w:t>Applied logistic regression</w:t>
      </w:r>
      <w:r>
        <w:t xml:space="preserve"> (Internet), New York, 2013, par. 5.2.4: “</w:t>
      </w:r>
      <w:r w:rsidRPr="008D57B8">
        <w:rPr>
          <w:i/>
        </w:rPr>
        <w:t>the ability of a fitted model to discriminate between the two outcomes is more a function of the difference between the groups and magnitudes of the slope coefficients than the logistic model itself</w:t>
      </w:r>
      <w:r>
        <w:t>”.</w:t>
      </w:r>
    </w:p>
  </w:footnote>
  <w:footnote w:id="86">
    <w:p w14:paraId="498121B9" w14:textId="3C8708E7" w:rsidR="00616BFE" w:rsidRDefault="00616BFE" w:rsidP="00776AD8">
      <w:pPr>
        <w:pStyle w:val="Paragrafoelenco"/>
      </w:pPr>
      <w:r>
        <w:rPr>
          <w:rStyle w:val="Rimandonotaapidipagina"/>
        </w:rPr>
        <w:footnoteRef/>
      </w:r>
      <w:r>
        <w:t xml:space="preserve"> </w:t>
      </w:r>
      <w:r w:rsidRPr="000D123A">
        <w:rPr>
          <w:color w:val="FF0000"/>
        </w:rPr>
        <w:t xml:space="preserve">Vedi paragrafo </w:t>
      </w:r>
      <w:r>
        <w:t>.</w:t>
      </w:r>
    </w:p>
  </w:footnote>
  <w:footnote w:id="87">
    <w:p w14:paraId="30761DDE" w14:textId="36B200BE" w:rsidR="00616BFE" w:rsidRDefault="00616BF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88">
    <w:p w14:paraId="1AE4026A" w14:textId="5E7CB2F6" w:rsidR="00616BFE" w:rsidRDefault="00616BFE" w:rsidP="00776AD8">
      <w:pPr>
        <w:pStyle w:val="Paragrafoelenco"/>
      </w:pPr>
      <w:r>
        <w:rPr>
          <w:rStyle w:val="Rimandonotaapidipagina"/>
        </w:rPr>
        <w:footnoteRef/>
      </w:r>
      <w:r>
        <w:t xml:space="preserve"> HOSMER D. – LEMESHOW S., </w:t>
      </w:r>
      <w:r w:rsidRPr="001B161F">
        <w:rPr>
          <w:i/>
        </w:rPr>
        <w:t>Applied logistic regression</w:t>
      </w:r>
      <w:r>
        <w:t xml:space="preserve"> (Internet), New York, 2013, par. 5.2.1.</w:t>
      </w:r>
    </w:p>
  </w:footnote>
  <w:footnote w:id="89">
    <w:p w14:paraId="3D1CD39F" w14:textId="52952E40" w:rsidR="00616BFE" w:rsidRPr="007C20E8" w:rsidRDefault="00616BFE" w:rsidP="00DD293D">
      <w:pPr>
        <w:pStyle w:val="Paragrafoelenco"/>
      </w:pPr>
      <w:r>
        <w:rPr>
          <w:rStyle w:val="Rimandonotaapidipagina"/>
        </w:rPr>
        <w:footnoteRef/>
      </w:r>
      <w:r>
        <w:t xml:space="preserve"> Lo sviluppo della formula per il residuo di </w:t>
      </w:r>
      <w:r w:rsidRPr="007C20E8">
        <w:rPr>
          <w:i/>
        </w:rPr>
        <w:t>Pearson</w:t>
      </w:r>
      <w:r>
        <w:t xml:space="preserve"> deve molto a </w:t>
      </w:r>
      <w:r w:rsidRPr="00DE00E1">
        <w:t>LUBISCO A. - MIGNANI S. - PILLATI M.,</w:t>
      </w:r>
      <w:r>
        <w:t xml:space="preserve"> </w:t>
      </w:r>
      <w:r w:rsidRPr="005734ED">
        <w:rPr>
          <w:i/>
        </w:rPr>
        <w:t>Op. cit.</w:t>
      </w:r>
      <w:r>
        <w:t>, p. 20 ss.</w:t>
      </w:r>
    </w:p>
  </w:footnote>
  <w:footnote w:id="90">
    <w:p w14:paraId="1831EB19" w14:textId="18B47D23" w:rsidR="00616BFE" w:rsidRDefault="00616BFE" w:rsidP="00DD293D">
      <w:pPr>
        <w:pStyle w:val="Paragrafoelenco"/>
      </w:pPr>
      <w:r>
        <w:rPr>
          <w:rStyle w:val="Rimandonotaapidipagina"/>
        </w:rPr>
        <w:footnoteRef/>
      </w:r>
      <w:r>
        <w:t xml:space="preserve"> Cfr. KLEINBAUM D – KLEIN MITCHEL, </w:t>
      </w:r>
      <w:r w:rsidRPr="00185BF2">
        <w:rPr>
          <w:i/>
        </w:rPr>
        <w:t>Op. cit</w:t>
      </w:r>
      <w:r>
        <w:t>, p. 305 ss.</w:t>
      </w:r>
    </w:p>
  </w:footnote>
  <w:footnote w:id="91">
    <w:p w14:paraId="034E10AE" w14:textId="616A06B8" w:rsidR="00616BFE" w:rsidRDefault="00616BFE" w:rsidP="00DD293D">
      <w:pPr>
        <w:pStyle w:val="Paragrafoelenco"/>
      </w:pPr>
      <w:r>
        <w:rPr>
          <w:rStyle w:val="Rimandonotaapidipagina"/>
        </w:rPr>
        <w:footnoteRef/>
      </w:r>
      <w:r>
        <w:t xml:space="preserve"> HOSMER D. – LEMESHOW S., </w:t>
      </w:r>
      <w:r>
        <w:rPr>
          <w:i/>
        </w:rPr>
        <w:t>Op. cit.</w:t>
      </w:r>
      <w:r>
        <w:t>, par. 5.2.1.</w:t>
      </w:r>
    </w:p>
  </w:footnote>
  <w:footnote w:id="92">
    <w:p w14:paraId="30A46383" w14:textId="469BF799"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93">
    <w:p w14:paraId="0791AA3B" w14:textId="1BD84C00" w:rsidR="00616BFE" w:rsidRDefault="00616BFE" w:rsidP="00DD293D">
      <w:pPr>
        <w:pStyle w:val="Paragrafoelenco"/>
      </w:pPr>
      <w:r>
        <w:rPr>
          <w:rStyle w:val="Rimandonotaapidipagina"/>
        </w:rPr>
        <w:footnoteRef/>
      </w:r>
      <w:r>
        <w:t xml:space="preserve"> Cfr. KLEINBAUM D – KLEIN MITCHEL, </w:t>
      </w:r>
      <w:r w:rsidRPr="00185BF2">
        <w:rPr>
          <w:i/>
        </w:rPr>
        <w:t>Op. cit</w:t>
      </w:r>
      <w:r>
        <w:t>, pp. 312-318, da cui si prende largamente spunto perla trattazione di questo sottoparagrafo.</w:t>
      </w:r>
    </w:p>
  </w:footnote>
  <w:footnote w:id="94">
    <w:p w14:paraId="507D01DE" w14:textId="2F7F6D97" w:rsidR="00616BFE" w:rsidRDefault="00616BF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95">
    <w:p w14:paraId="1F83E4A1" w14:textId="36CE8C9F" w:rsidR="00616BFE" w:rsidRDefault="00616BFE" w:rsidP="0015287D">
      <w:pPr>
        <w:pStyle w:val="Paragrafoelenco"/>
      </w:pPr>
      <w:r>
        <w:rPr>
          <w:rStyle w:val="Rimandonotaapidipagina"/>
        </w:rPr>
        <w:footnoteRef/>
      </w:r>
      <w:r>
        <w:t xml:space="preserve"> HOSMER D. – LEMESHOW S., </w:t>
      </w:r>
      <w:r w:rsidRPr="003B71DB">
        <w:t>A goodness-of-fit test for the multiple logistic regression model</w:t>
      </w:r>
      <w:r>
        <w:t xml:space="preserve">, in </w:t>
      </w:r>
      <w:r w:rsidRPr="003B71DB">
        <w:rPr>
          <w:iCs/>
        </w:rPr>
        <w:t>Communications in Statistics</w:t>
      </w:r>
      <w:r>
        <w:rPr>
          <w:iCs/>
        </w:rPr>
        <w:t xml:space="preserve">, 1980, pp. </w:t>
      </w:r>
      <w:r>
        <w:t>1043-1069.</w:t>
      </w:r>
    </w:p>
  </w:footnote>
  <w:footnote w:id="96">
    <w:p w14:paraId="3CC384D0" w14:textId="2A923169" w:rsidR="00616BFE" w:rsidRDefault="00616BFE" w:rsidP="0015287D">
      <w:pPr>
        <w:pStyle w:val="Paragrafoelenco"/>
      </w:pPr>
      <w:r>
        <w:rPr>
          <w:rStyle w:val="Rimandonotaapidipagina"/>
        </w:rPr>
        <w:footnoteRef/>
      </w:r>
      <w:r>
        <w:t xml:space="preserve"> ALLISON P., </w:t>
      </w:r>
      <w:r w:rsidRPr="002B2413">
        <w:t>Logistic regression using SAS: theory and application</w:t>
      </w:r>
      <w:r>
        <w:t xml:space="preserve"> (Internet), Cary, 2012, par. 3.6</w:t>
      </w:r>
    </w:p>
  </w:footnote>
  <w:footnote w:id="97">
    <w:p w14:paraId="2B90C02A" w14:textId="516169A5" w:rsidR="00616BFE" w:rsidRPr="00A75BCB" w:rsidRDefault="00616BFE" w:rsidP="00731B85">
      <w:pPr>
        <w:pStyle w:val="Paragrafoelenco"/>
      </w:pPr>
      <w:r>
        <w:rPr>
          <w:rStyle w:val="Rimandonotaapidipagina"/>
        </w:rPr>
        <w:footnoteRef/>
      </w:r>
      <w:r>
        <w:t xml:space="preserve"> ALLISON P., </w:t>
      </w:r>
      <w:r w:rsidRPr="00A75BCB">
        <w:rPr>
          <w:i/>
        </w:rPr>
        <w:t>Why I don’t trust Lemeshow Test for Logistic Regression</w:t>
      </w:r>
      <w:r>
        <w:t xml:space="preserve"> (Internet), disponibile su </w:t>
      </w:r>
      <w:r w:rsidRPr="00A75BCB">
        <w:rPr>
          <w:b/>
        </w:rPr>
        <w:t>http://statisticalhorizons.com/hosmer-lemeshow</w:t>
      </w:r>
      <w:r>
        <w:rPr>
          <w:b/>
        </w:rPr>
        <w:t xml:space="preserve">, </w:t>
      </w:r>
      <w:r w:rsidRPr="00DE00E1">
        <w:t>(data di ultima consultazione: Marzo 2016)</w:t>
      </w:r>
      <w:r>
        <w:t>..</w:t>
      </w:r>
    </w:p>
  </w:footnote>
  <w:footnote w:id="98">
    <w:p w14:paraId="320E9C97" w14:textId="0F7590E4" w:rsidR="00616BFE" w:rsidRDefault="00616BFE" w:rsidP="00731B85">
      <w:pPr>
        <w:pStyle w:val="Paragrafoelenco"/>
      </w:pPr>
      <w:r>
        <w:rPr>
          <w:rStyle w:val="Rimandonotaapidipagina"/>
        </w:rPr>
        <w:footnoteRef/>
      </w:r>
      <w:r>
        <w:t xml:space="preserve"> HOSMER D. – BURSAC Z. – GAUSS C. – WILLIAMS D., </w:t>
      </w:r>
      <w:r w:rsidRPr="003C32D9">
        <w:rPr>
          <w:i/>
        </w:rPr>
        <w:t>Purposeful selection of variables in logistic regression</w:t>
      </w:r>
      <w:r>
        <w:t xml:space="preserve"> (Internet), Amherst, 2008, disponibile su </w:t>
      </w:r>
      <w:r w:rsidRPr="00A23CCA">
        <w:rPr>
          <w:b/>
        </w:rPr>
        <w:t>http://www.readcube.com/articles/10.1186%2F1751-0473-3-17</w:t>
      </w:r>
      <w:r>
        <w:rPr>
          <w:b/>
        </w:rPr>
        <w:t xml:space="preserve"> </w:t>
      </w:r>
      <w:r w:rsidRPr="00DE00E1">
        <w:t>(data di ultima consultazione: Marzo 2016)</w:t>
      </w:r>
      <w:r>
        <w:t>.</w:t>
      </w:r>
    </w:p>
  </w:footnote>
  <w:footnote w:id="99">
    <w:p w14:paraId="060A416A" w14:textId="166522E2" w:rsidR="00616BFE" w:rsidRDefault="00616BFE" w:rsidP="00731B85">
      <w:pPr>
        <w:pStyle w:val="Paragrafoelenco"/>
      </w:pPr>
      <w:r>
        <w:rPr>
          <w:rStyle w:val="Rimandonotaapidipagina"/>
        </w:rPr>
        <w:footnoteRef/>
      </w:r>
      <w:r>
        <w:t xml:space="preserve"> KLEINBAUM D – KLEIN MITCHEL, </w:t>
      </w:r>
      <w:r w:rsidRPr="00185BF2">
        <w:rPr>
          <w:i/>
        </w:rPr>
        <w:t>Op. cit</w:t>
      </w:r>
      <w:r>
        <w:t>, p 244 ss.</w:t>
      </w:r>
    </w:p>
  </w:footnote>
  <w:footnote w:id="100">
    <w:p w14:paraId="01FBE11B" w14:textId="2206490C" w:rsidR="00616BFE" w:rsidRDefault="00616BFE" w:rsidP="00161324">
      <w:pPr>
        <w:pStyle w:val="Paragrafoelenco"/>
      </w:pPr>
      <w:r>
        <w:rPr>
          <w:rStyle w:val="Rimandonotaapidipagina"/>
        </w:rPr>
        <w:footnoteRef/>
      </w:r>
      <w:r>
        <w:t xml:space="preserve"> Cfr. CURINI L., </w:t>
      </w:r>
      <w:r w:rsidRPr="0048220F">
        <w:rPr>
          <w:i/>
        </w:rPr>
        <w:t>Regression with a binary dipendent variable: logistic regression diagnostic</w:t>
      </w:r>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(data di ultima consultazione: Marzo 2016)</w:t>
      </w:r>
      <w:r>
        <w:t xml:space="preserve">, p. 1. </w:t>
      </w:r>
    </w:p>
  </w:footnote>
  <w:footnote w:id="101">
    <w:p w14:paraId="6EF5E815" w14:textId="54DA5219" w:rsidR="00616BFE" w:rsidRDefault="00616BFE" w:rsidP="00161324">
      <w:pPr>
        <w:pStyle w:val="Paragrafoelenco"/>
      </w:pPr>
      <w:r>
        <w:rPr>
          <w:rStyle w:val="Rimandonotaapidipagina"/>
        </w:rPr>
        <w:footnoteRef/>
      </w:r>
      <w:r>
        <w:t xml:space="preserve"> Cosa che, se non accade, può generare problemi di </w:t>
      </w:r>
      <w:r w:rsidRPr="003D6BA0">
        <w:rPr>
          <w:i/>
        </w:rPr>
        <w:t>overdispersion</w:t>
      </w:r>
      <w:r>
        <w:t xml:space="preserve">, cfr. </w:t>
      </w:r>
      <w:r w:rsidRPr="00951910">
        <w:t>Penn State</w:t>
      </w:r>
      <w:r>
        <w:t xml:space="preserve"> University,</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(data di ultima consultazione: Marzo 2016)</w:t>
      </w:r>
      <w:r>
        <w:t>.</w:t>
      </w:r>
    </w:p>
  </w:footnote>
  <w:footnote w:id="102">
    <w:p w14:paraId="05BA40A0" w14:textId="0D1BDA40" w:rsidR="00616BFE" w:rsidRPr="00951910" w:rsidRDefault="00616BFE" w:rsidP="00161324">
      <w:pPr>
        <w:pStyle w:val="Paragrafoelenco"/>
      </w:pPr>
      <w:r>
        <w:rPr>
          <w:rStyle w:val="Rimandonotaapidipagina"/>
        </w:rPr>
        <w:footnoteRef/>
      </w:r>
      <w:r>
        <w:t xml:space="preserve">Cfr. CURINI L., </w:t>
      </w:r>
      <w:r w:rsidRPr="00951910">
        <w:rPr>
          <w:i/>
        </w:rPr>
        <w:t>Op. cit.</w:t>
      </w:r>
      <w:r>
        <w:t>, p. 4.</w:t>
      </w:r>
    </w:p>
  </w:footnote>
  <w:footnote w:id="103">
    <w:p w14:paraId="22521330" w14:textId="4B6825BA" w:rsidR="00616BFE" w:rsidRDefault="00616BFE" w:rsidP="00A14C45">
      <w:pPr>
        <w:pStyle w:val="Paragrafoelenco"/>
      </w:pPr>
      <w:r>
        <w:rPr>
          <w:rStyle w:val="Rimandonotaapidipagina"/>
        </w:rPr>
        <w:footnoteRef/>
      </w:r>
      <w:r>
        <w:t xml:space="preserve"> KABACOFF R., </w:t>
      </w:r>
      <w:r w:rsidRPr="00267E37">
        <w:rPr>
          <w:i/>
        </w:rPr>
        <w:t>R in action. Data analysis and graphics with R</w:t>
      </w:r>
      <w:r>
        <w:t xml:space="preserve"> (Internet), New York, 2015, par. 13.1</w:t>
      </w:r>
    </w:p>
  </w:footnote>
  <w:footnote w:id="104">
    <w:p w14:paraId="508A46E9" w14:textId="09BE61A4" w:rsidR="00616BFE" w:rsidRDefault="00616BFE" w:rsidP="00A14C45">
      <w:pPr>
        <w:pStyle w:val="Paragrafoelenco"/>
      </w:pPr>
      <w:r>
        <w:rPr>
          <w:rStyle w:val="Rimandonotaapidipagina"/>
        </w:rPr>
        <w:footnoteRef/>
      </w:r>
      <w:r>
        <w:t xml:space="preserve"> PARDOE I., COOK D., </w:t>
      </w:r>
      <w:r w:rsidRPr="00267E37">
        <w:rPr>
          <w:i/>
        </w:rPr>
        <w:t>A Graphical Method for Assessing the Fit</w:t>
      </w:r>
      <w:r>
        <w:rPr>
          <w:i/>
        </w:rPr>
        <w:t xml:space="preserve"> of a Logistic Regression Model</w:t>
      </w:r>
      <w:r>
        <w:t xml:space="preserve"> (Internet), 2002, disponibile su </w:t>
      </w:r>
      <w:r w:rsidRPr="00267E37">
        <w:rPr>
          <w:b/>
        </w:rPr>
        <w:t>http://www.amstat.org/sections/SRMS/Proceedings/y2001/Proceed/00276.pdf</w:t>
      </w:r>
      <w:r>
        <w:t xml:space="preserve"> </w:t>
      </w:r>
      <w:r w:rsidRPr="00DE00E1">
        <w:t>(data di ultima consultazione: Marzo 2016)</w:t>
      </w:r>
      <w:r>
        <w:t>, pp. 2-3.</w:t>
      </w:r>
    </w:p>
  </w:footnote>
  <w:footnote w:id="105">
    <w:p w14:paraId="031E4430" w14:textId="070DD7FB" w:rsidR="00616BFE" w:rsidRPr="00CF7CE4" w:rsidRDefault="00616BFE" w:rsidP="00A14C45">
      <w:pPr>
        <w:pStyle w:val="Paragrafoelenco"/>
      </w:pPr>
      <w:r>
        <w:rPr>
          <w:rStyle w:val="Rimandonotaapidipagina"/>
        </w:rPr>
        <w:footnoteRef/>
      </w:r>
      <w:r>
        <w:t xml:space="preserve"> Come ALLISON P., </w:t>
      </w:r>
      <w:r w:rsidRPr="002B2413">
        <w:rPr>
          <w:i/>
        </w:rPr>
        <w:t>Logistic regression using SAS: theory and application</w:t>
      </w:r>
      <w:r>
        <w:rPr>
          <w:i/>
        </w:rPr>
        <w:t xml:space="preserve">, </w:t>
      </w:r>
      <w:r>
        <w:t xml:space="preserve">cit., KLEINBAUM D – KLEIN MITCHEL, </w:t>
      </w:r>
      <w:r w:rsidRPr="00C7386D">
        <w:rPr>
          <w:i/>
        </w:rPr>
        <w:t>Op. cit.</w:t>
      </w:r>
      <w:r>
        <w:t xml:space="preserve">, HOSMER D. – LEMESHOW S., </w:t>
      </w:r>
      <w:r w:rsidRPr="001B161F">
        <w:rPr>
          <w:i/>
        </w:rPr>
        <w:t>Applied logistic regression</w:t>
      </w:r>
      <w:r>
        <w:t>, cit.</w:t>
      </w:r>
    </w:p>
  </w:footnote>
  <w:footnote w:id="106">
    <w:p w14:paraId="35C1A050" w14:textId="11DBA559" w:rsidR="00616BFE" w:rsidRPr="00362464" w:rsidRDefault="00616BFE" w:rsidP="00CE4F3A">
      <w:pPr>
        <w:pStyle w:val="Paragrafoelenco"/>
      </w:pPr>
      <w:r>
        <w:rPr>
          <w:rStyle w:val="Rimandonotaapidipagina"/>
        </w:rPr>
        <w:footnoteRef/>
      </w:r>
      <w:r>
        <w:t xml:space="preserve"> CAFFO B., </w:t>
      </w:r>
      <w:r w:rsidRPr="0031433B">
        <w:t>Regression models for data science in R</w:t>
      </w:r>
      <w:r>
        <w:t>, cit., pp. 96-97.</w:t>
      </w:r>
    </w:p>
  </w:footnote>
  <w:footnote w:id="107">
    <w:p w14:paraId="7F174503" w14:textId="35D17866" w:rsidR="00616BFE" w:rsidRDefault="00616BFE" w:rsidP="00CE4F3A">
      <w:pPr>
        <w:pStyle w:val="Paragrafoelenco"/>
      </w:pPr>
      <w:r>
        <w:rPr>
          <w:rStyle w:val="Rimandonotaapidipagina"/>
        </w:rPr>
        <w:footnoteRef/>
      </w:r>
      <w:r>
        <w:t xml:space="preserve"> KLEINBAUM D – KLEIN MITCHEL, </w:t>
      </w:r>
      <w:r w:rsidRPr="00C7386D">
        <w:t>Op. cit.</w:t>
      </w:r>
      <w:r>
        <w:t>, p. 271.</w:t>
      </w:r>
    </w:p>
  </w:footnote>
  <w:footnote w:id="108">
    <w:p w14:paraId="64E4B11D" w14:textId="27050A80" w:rsidR="00616BFE" w:rsidRDefault="00616BFE" w:rsidP="00CE4F3A">
      <w:pPr>
        <w:pStyle w:val="Paragrafoelenco"/>
      </w:pPr>
      <w:r>
        <w:rPr>
          <w:rStyle w:val="Rimandonotaapidipagina"/>
        </w:rPr>
        <w:footnoteRef/>
      </w:r>
      <w:r>
        <w:t xml:space="preserve"> PARDOE I., COOK D., </w:t>
      </w:r>
      <w:r w:rsidRPr="00362464">
        <w:t>Op. cit.</w:t>
      </w:r>
      <w:r>
        <w:t>, p1.</w:t>
      </w:r>
    </w:p>
  </w:footnote>
  <w:footnote w:id="109">
    <w:p w14:paraId="4CE6A653" w14:textId="4B0BD239" w:rsidR="00616BFE" w:rsidRDefault="00616BFE" w:rsidP="003E3F07">
      <w:pPr>
        <w:pStyle w:val="Paragrafoelenco"/>
      </w:pPr>
      <w:r>
        <w:rPr>
          <w:rStyle w:val="Rimandonotaapidipagina"/>
        </w:rPr>
        <w:footnoteRef/>
      </w:r>
      <w:r>
        <w:t xml:space="preserve"> KLEINBAUM D – KLEIN MITCHEL, </w:t>
      </w:r>
      <w:r w:rsidRPr="00C7386D">
        <w:rPr>
          <w:i/>
        </w:rPr>
        <w:t>Op. cit.</w:t>
      </w:r>
      <w:r>
        <w:t>, p. 271.</w:t>
      </w:r>
    </w:p>
  </w:footnote>
  <w:footnote w:id="110">
    <w:p w14:paraId="2FEAAD67" w14:textId="4A79750E" w:rsidR="00616BFE" w:rsidRDefault="00616BFE" w:rsidP="003E3F07">
      <w:pPr>
        <w:pStyle w:val="Paragrafoelenco"/>
      </w:pPr>
      <w:r>
        <w:rPr>
          <w:rStyle w:val="Rimandonotaapidipagina"/>
        </w:rPr>
        <w:footnoteRef/>
      </w:r>
      <w:r>
        <w:t xml:space="preserve"> </w:t>
      </w:r>
      <w:r w:rsidRPr="00362464">
        <w:rPr>
          <w:i/>
        </w:rPr>
        <w:t>Ivi</w:t>
      </w:r>
      <w:r>
        <w:t>, p. 273.</w:t>
      </w:r>
    </w:p>
  </w:footnote>
  <w:footnote w:id="111">
    <w:p w14:paraId="325FC820" w14:textId="24798C40" w:rsidR="00616BFE" w:rsidRDefault="00616BFE" w:rsidP="003E3F07">
      <w:pPr>
        <w:pStyle w:val="Paragrafoelenco"/>
      </w:pPr>
      <w:r>
        <w:rPr>
          <w:rStyle w:val="Rimandonotaapidipagina"/>
        </w:rPr>
        <w:footnoteRef/>
      </w:r>
      <w:r>
        <w:t xml:space="preserve"> CURINI L., </w:t>
      </w:r>
      <w:r w:rsidRPr="00951910">
        <w:rPr>
          <w:i/>
        </w:rPr>
        <w:t>Op. cit.</w:t>
      </w:r>
      <w:r>
        <w:t>, p. 5.</w:t>
      </w:r>
    </w:p>
  </w:footnote>
  <w:footnote w:id="112">
    <w:p w14:paraId="4D085306" w14:textId="68592EEA" w:rsidR="00616BFE" w:rsidRDefault="00616BFE" w:rsidP="003E3F07">
      <w:pPr>
        <w:pStyle w:val="Paragrafoelenco"/>
      </w:pPr>
      <w:r>
        <w:rPr>
          <w:rStyle w:val="Rimandonotaapidipagina"/>
        </w:rPr>
        <w:footnoteRef/>
      </w:r>
      <w:r>
        <w:t xml:space="preserve"> Il dataset utilizzato nel capitolo 3 contiene molte variabili quantitative.</w:t>
      </w:r>
    </w:p>
  </w:footnote>
  <w:footnote w:id="113">
    <w:p w14:paraId="357B882A" w14:textId="4B3CE965" w:rsidR="00616BFE" w:rsidRDefault="00616BFE" w:rsidP="003E3F07">
      <w:pPr>
        <w:pStyle w:val="Paragrafoelenco"/>
      </w:pPr>
      <w:r>
        <w:rPr>
          <w:rStyle w:val="Rimandonotaapidipagina"/>
        </w:rPr>
        <w:footnoteRef/>
      </w:r>
      <w:r>
        <w:t xml:space="preserve"> KLEINBAUM D – KLEIN MITCHEL, </w:t>
      </w:r>
      <w:r w:rsidRPr="00C7386D">
        <w:rPr>
          <w:i/>
        </w:rPr>
        <w:t>Op. cit.</w:t>
      </w:r>
      <w:r>
        <w:t>, p. 275.</w:t>
      </w:r>
    </w:p>
  </w:footnote>
  <w:footnote w:id="114">
    <w:p w14:paraId="1E718B23" w14:textId="2915EAC2" w:rsidR="00616BFE" w:rsidRDefault="00616BFE" w:rsidP="003E3F07">
      <w:pPr>
        <w:pStyle w:val="Paragrafoelenco"/>
      </w:pPr>
      <w:r>
        <w:rPr>
          <w:rStyle w:val="Rimandonotaapidipagina"/>
        </w:rPr>
        <w:footnoteRef/>
      </w:r>
      <w:r>
        <w:t xml:space="preserve"> </w:t>
      </w:r>
      <w:r>
        <w:rPr>
          <w:bCs/>
        </w:rPr>
        <w:t xml:space="preserve">KOVAL J. et alia, </w:t>
      </w:r>
      <w:r w:rsidRPr="00267E37">
        <w:rPr>
          <w:bCs/>
          <w:i/>
        </w:rPr>
        <w:t>Assessing the impact of potentially influential observations in weighted logistic regression</w:t>
      </w:r>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(data di ultima consultazione: Marzo 2016)</w:t>
      </w:r>
      <w:r>
        <w:t>.</w:t>
      </w:r>
    </w:p>
  </w:footnote>
  <w:footnote w:id="115">
    <w:p w14:paraId="7EFF3206" w14:textId="0E32BD98" w:rsidR="00616BFE" w:rsidRDefault="00616BFE" w:rsidP="009D5465">
      <w:pPr>
        <w:pStyle w:val="Paragrafoelenco"/>
      </w:pPr>
      <w:r>
        <w:rPr>
          <w:rStyle w:val="Rimandonotaapidipagina"/>
        </w:rPr>
        <w:footnoteRef/>
      </w:r>
      <w:r>
        <w:t xml:space="preserve"> </w:t>
      </w:r>
      <w:r w:rsidRPr="00951910">
        <w:t>Penn State</w:t>
      </w:r>
      <w:r>
        <w:t xml:space="preserve"> University,</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(data di ultima consultazione: Marzo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3449"/>
    <w:rsid w:val="00025268"/>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1A88"/>
    <w:rsid w:val="00095656"/>
    <w:rsid w:val="00097770"/>
    <w:rsid w:val="00097D4A"/>
    <w:rsid w:val="000A103A"/>
    <w:rsid w:val="000A6855"/>
    <w:rsid w:val="000B1D45"/>
    <w:rsid w:val="000B35AF"/>
    <w:rsid w:val="000C0752"/>
    <w:rsid w:val="000C3A7F"/>
    <w:rsid w:val="000D123A"/>
    <w:rsid w:val="000D1A2E"/>
    <w:rsid w:val="000D3357"/>
    <w:rsid w:val="000D43B2"/>
    <w:rsid w:val="000D5F27"/>
    <w:rsid w:val="000E0214"/>
    <w:rsid w:val="000E69FF"/>
    <w:rsid w:val="000F2F77"/>
    <w:rsid w:val="000F3316"/>
    <w:rsid w:val="000F62D6"/>
    <w:rsid w:val="00105287"/>
    <w:rsid w:val="00111B32"/>
    <w:rsid w:val="00112E48"/>
    <w:rsid w:val="0011577B"/>
    <w:rsid w:val="001179D0"/>
    <w:rsid w:val="00117CE3"/>
    <w:rsid w:val="00117E41"/>
    <w:rsid w:val="00123923"/>
    <w:rsid w:val="00126975"/>
    <w:rsid w:val="0013016A"/>
    <w:rsid w:val="0013503A"/>
    <w:rsid w:val="001407EF"/>
    <w:rsid w:val="00140866"/>
    <w:rsid w:val="00144F1E"/>
    <w:rsid w:val="001460E1"/>
    <w:rsid w:val="001525EB"/>
    <w:rsid w:val="0015287D"/>
    <w:rsid w:val="00160DF4"/>
    <w:rsid w:val="00161324"/>
    <w:rsid w:val="00162486"/>
    <w:rsid w:val="00163BD9"/>
    <w:rsid w:val="0016600B"/>
    <w:rsid w:val="00176688"/>
    <w:rsid w:val="00176E31"/>
    <w:rsid w:val="001852BA"/>
    <w:rsid w:val="00185BF2"/>
    <w:rsid w:val="001872F6"/>
    <w:rsid w:val="00191D88"/>
    <w:rsid w:val="001A2BFC"/>
    <w:rsid w:val="001A7821"/>
    <w:rsid w:val="001C035E"/>
    <w:rsid w:val="001C0533"/>
    <w:rsid w:val="001C6038"/>
    <w:rsid w:val="001D322F"/>
    <w:rsid w:val="001E18EE"/>
    <w:rsid w:val="001E2C42"/>
    <w:rsid w:val="001E36E0"/>
    <w:rsid w:val="001F13D8"/>
    <w:rsid w:val="001F2C49"/>
    <w:rsid w:val="00200334"/>
    <w:rsid w:val="00204471"/>
    <w:rsid w:val="00207F00"/>
    <w:rsid w:val="002126F2"/>
    <w:rsid w:val="00213B15"/>
    <w:rsid w:val="00215F8A"/>
    <w:rsid w:val="002259EA"/>
    <w:rsid w:val="00225DB4"/>
    <w:rsid w:val="00226066"/>
    <w:rsid w:val="00244DB2"/>
    <w:rsid w:val="00256AA5"/>
    <w:rsid w:val="002577BB"/>
    <w:rsid w:val="00263D69"/>
    <w:rsid w:val="00265042"/>
    <w:rsid w:val="002666C2"/>
    <w:rsid w:val="0028307E"/>
    <w:rsid w:val="00283C62"/>
    <w:rsid w:val="00287C4F"/>
    <w:rsid w:val="00294C88"/>
    <w:rsid w:val="00297F46"/>
    <w:rsid w:val="002A0D1D"/>
    <w:rsid w:val="002A1CCF"/>
    <w:rsid w:val="002A5A3C"/>
    <w:rsid w:val="002B349B"/>
    <w:rsid w:val="002B3AA1"/>
    <w:rsid w:val="002C3303"/>
    <w:rsid w:val="002C77A1"/>
    <w:rsid w:val="002D0357"/>
    <w:rsid w:val="002D6991"/>
    <w:rsid w:val="002E2767"/>
    <w:rsid w:val="002E53AB"/>
    <w:rsid w:val="00300EAE"/>
    <w:rsid w:val="00302690"/>
    <w:rsid w:val="00303A2A"/>
    <w:rsid w:val="003045C8"/>
    <w:rsid w:val="00306BEB"/>
    <w:rsid w:val="00311E40"/>
    <w:rsid w:val="003158AE"/>
    <w:rsid w:val="00316120"/>
    <w:rsid w:val="00323D8B"/>
    <w:rsid w:val="00324BD5"/>
    <w:rsid w:val="00326606"/>
    <w:rsid w:val="00327D4E"/>
    <w:rsid w:val="00327FE3"/>
    <w:rsid w:val="003359B9"/>
    <w:rsid w:val="00337768"/>
    <w:rsid w:val="00337D76"/>
    <w:rsid w:val="003436F7"/>
    <w:rsid w:val="0034464B"/>
    <w:rsid w:val="00344E78"/>
    <w:rsid w:val="00345BCC"/>
    <w:rsid w:val="00352714"/>
    <w:rsid w:val="0035529A"/>
    <w:rsid w:val="00362464"/>
    <w:rsid w:val="00363640"/>
    <w:rsid w:val="00363CC6"/>
    <w:rsid w:val="00377DB6"/>
    <w:rsid w:val="003805FC"/>
    <w:rsid w:val="00384355"/>
    <w:rsid w:val="00391ECD"/>
    <w:rsid w:val="00396EC4"/>
    <w:rsid w:val="003B08CA"/>
    <w:rsid w:val="003C202C"/>
    <w:rsid w:val="003C32D9"/>
    <w:rsid w:val="003D24B9"/>
    <w:rsid w:val="003D6A79"/>
    <w:rsid w:val="003D6BA0"/>
    <w:rsid w:val="003D74A0"/>
    <w:rsid w:val="003E3F07"/>
    <w:rsid w:val="003E4011"/>
    <w:rsid w:val="003F0096"/>
    <w:rsid w:val="003F1E56"/>
    <w:rsid w:val="003F3841"/>
    <w:rsid w:val="003F4E00"/>
    <w:rsid w:val="0040409C"/>
    <w:rsid w:val="0040447E"/>
    <w:rsid w:val="00405E2F"/>
    <w:rsid w:val="00407514"/>
    <w:rsid w:val="004108B8"/>
    <w:rsid w:val="00411A5F"/>
    <w:rsid w:val="00414C86"/>
    <w:rsid w:val="00416873"/>
    <w:rsid w:val="0042235B"/>
    <w:rsid w:val="00424F16"/>
    <w:rsid w:val="00425719"/>
    <w:rsid w:val="00452108"/>
    <w:rsid w:val="00452F78"/>
    <w:rsid w:val="00454681"/>
    <w:rsid w:val="0045559F"/>
    <w:rsid w:val="0045619F"/>
    <w:rsid w:val="004577FC"/>
    <w:rsid w:val="00460E65"/>
    <w:rsid w:val="0047014E"/>
    <w:rsid w:val="0047183F"/>
    <w:rsid w:val="00471D8F"/>
    <w:rsid w:val="00472146"/>
    <w:rsid w:val="00476CD1"/>
    <w:rsid w:val="0047729E"/>
    <w:rsid w:val="00482DCE"/>
    <w:rsid w:val="00486690"/>
    <w:rsid w:val="00486B04"/>
    <w:rsid w:val="0048774A"/>
    <w:rsid w:val="00491D9F"/>
    <w:rsid w:val="00493082"/>
    <w:rsid w:val="0049709A"/>
    <w:rsid w:val="004A12C2"/>
    <w:rsid w:val="004A2177"/>
    <w:rsid w:val="004A5E7B"/>
    <w:rsid w:val="004B2260"/>
    <w:rsid w:val="004B3025"/>
    <w:rsid w:val="004B383B"/>
    <w:rsid w:val="004C039F"/>
    <w:rsid w:val="004C3BD5"/>
    <w:rsid w:val="004C49B8"/>
    <w:rsid w:val="004D0601"/>
    <w:rsid w:val="004D1BA5"/>
    <w:rsid w:val="004D1EB6"/>
    <w:rsid w:val="004D5825"/>
    <w:rsid w:val="004E1B44"/>
    <w:rsid w:val="004E6BF1"/>
    <w:rsid w:val="004E72C8"/>
    <w:rsid w:val="004E7D97"/>
    <w:rsid w:val="004F1561"/>
    <w:rsid w:val="004F2815"/>
    <w:rsid w:val="004F47E5"/>
    <w:rsid w:val="004F5E26"/>
    <w:rsid w:val="00511D05"/>
    <w:rsid w:val="005172C5"/>
    <w:rsid w:val="0051731B"/>
    <w:rsid w:val="005177D7"/>
    <w:rsid w:val="00523E0D"/>
    <w:rsid w:val="005307F7"/>
    <w:rsid w:val="00536B13"/>
    <w:rsid w:val="0055443E"/>
    <w:rsid w:val="00554A20"/>
    <w:rsid w:val="00556FA6"/>
    <w:rsid w:val="00557E34"/>
    <w:rsid w:val="00560AB7"/>
    <w:rsid w:val="00562A5A"/>
    <w:rsid w:val="00571328"/>
    <w:rsid w:val="00572BCD"/>
    <w:rsid w:val="00572E54"/>
    <w:rsid w:val="005732DC"/>
    <w:rsid w:val="005734ED"/>
    <w:rsid w:val="00581A4A"/>
    <w:rsid w:val="005B4180"/>
    <w:rsid w:val="005B7F38"/>
    <w:rsid w:val="005C0B21"/>
    <w:rsid w:val="005C44BF"/>
    <w:rsid w:val="005C56A1"/>
    <w:rsid w:val="005D068F"/>
    <w:rsid w:val="005D45C1"/>
    <w:rsid w:val="005E1CCC"/>
    <w:rsid w:val="005E2FAA"/>
    <w:rsid w:val="005E3279"/>
    <w:rsid w:val="005F27F6"/>
    <w:rsid w:val="005F3B42"/>
    <w:rsid w:val="005F3FA8"/>
    <w:rsid w:val="00611222"/>
    <w:rsid w:val="00613372"/>
    <w:rsid w:val="00616BFE"/>
    <w:rsid w:val="006175DB"/>
    <w:rsid w:val="00630C6E"/>
    <w:rsid w:val="006320E4"/>
    <w:rsid w:val="006376B0"/>
    <w:rsid w:val="00645ABD"/>
    <w:rsid w:val="006618A1"/>
    <w:rsid w:val="0066659B"/>
    <w:rsid w:val="00667AF7"/>
    <w:rsid w:val="0067013C"/>
    <w:rsid w:val="0067041F"/>
    <w:rsid w:val="0067291D"/>
    <w:rsid w:val="00682A91"/>
    <w:rsid w:val="00690037"/>
    <w:rsid w:val="00693B95"/>
    <w:rsid w:val="006964E4"/>
    <w:rsid w:val="00697796"/>
    <w:rsid w:val="006A331A"/>
    <w:rsid w:val="006A4974"/>
    <w:rsid w:val="006A68D0"/>
    <w:rsid w:val="006C17B7"/>
    <w:rsid w:val="006C202A"/>
    <w:rsid w:val="006C7EEC"/>
    <w:rsid w:val="006D0564"/>
    <w:rsid w:val="006D0850"/>
    <w:rsid w:val="006E2459"/>
    <w:rsid w:val="006E4A6D"/>
    <w:rsid w:val="006F1EAD"/>
    <w:rsid w:val="006F4B9B"/>
    <w:rsid w:val="007042A8"/>
    <w:rsid w:val="00705D5E"/>
    <w:rsid w:val="00707389"/>
    <w:rsid w:val="00716A47"/>
    <w:rsid w:val="00730ADA"/>
    <w:rsid w:val="00731B85"/>
    <w:rsid w:val="007343CE"/>
    <w:rsid w:val="00740B61"/>
    <w:rsid w:val="007435A9"/>
    <w:rsid w:val="007512D1"/>
    <w:rsid w:val="007600F8"/>
    <w:rsid w:val="007632ED"/>
    <w:rsid w:val="007657FD"/>
    <w:rsid w:val="00765F45"/>
    <w:rsid w:val="00766730"/>
    <w:rsid w:val="00770F8A"/>
    <w:rsid w:val="00776AD8"/>
    <w:rsid w:val="00780836"/>
    <w:rsid w:val="00781210"/>
    <w:rsid w:val="00782781"/>
    <w:rsid w:val="00796693"/>
    <w:rsid w:val="007A2B83"/>
    <w:rsid w:val="007A5190"/>
    <w:rsid w:val="007A51FA"/>
    <w:rsid w:val="007B0AA1"/>
    <w:rsid w:val="007B3A3C"/>
    <w:rsid w:val="007B4A38"/>
    <w:rsid w:val="007C20E8"/>
    <w:rsid w:val="007C4BC2"/>
    <w:rsid w:val="007C63F3"/>
    <w:rsid w:val="007C7E62"/>
    <w:rsid w:val="007D055A"/>
    <w:rsid w:val="007F1230"/>
    <w:rsid w:val="007F2885"/>
    <w:rsid w:val="007F4185"/>
    <w:rsid w:val="00800291"/>
    <w:rsid w:val="00806778"/>
    <w:rsid w:val="00810508"/>
    <w:rsid w:val="0081651B"/>
    <w:rsid w:val="00823A1E"/>
    <w:rsid w:val="008241D5"/>
    <w:rsid w:val="008254E8"/>
    <w:rsid w:val="00825DD9"/>
    <w:rsid w:val="00833FD6"/>
    <w:rsid w:val="00837825"/>
    <w:rsid w:val="00840D5D"/>
    <w:rsid w:val="0085299E"/>
    <w:rsid w:val="00857B24"/>
    <w:rsid w:val="00864AAF"/>
    <w:rsid w:val="00867657"/>
    <w:rsid w:val="00876192"/>
    <w:rsid w:val="00876BAE"/>
    <w:rsid w:val="00876EDC"/>
    <w:rsid w:val="00877795"/>
    <w:rsid w:val="00886869"/>
    <w:rsid w:val="0088731B"/>
    <w:rsid w:val="00887A32"/>
    <w:rsid w:val="0089018A"/>
    <w:rsid w:val="00893A06"/>
    <w:rsid w:val="008B0EDD"/>
    <w:rsid w:val="008C273B"/>
    <w:rsid w:val="008C5EAF"/>
    <w:rsid w:val="008C754E"/>
    <w:rsid w:val="008D0342"/>
    <w:rsid w:val="008D121D"/>
    <w:rsid w:val="008D57B8"/>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5AA8"/>
    <w:rsid w:val="0091636F"/>
    <w:rsid w:val="00916777"/>
    <w:rsid w:val="00921244"/>
    <w:rsid w:val="009215BA"/>
    <w:rsid w:val="0092412A"/>
    <w:rsid w:val="009342ED"/>
    <w:rsid w:val="00934FA4"/>
    <w:rsid w:val="00942785"/>
    <w:rsid w:val="00951910"/>
    <w:rsid w:val="00952F71"/>
    <w:rsid w:val="00966AD7"/>
    <w:rsid w:val="009732D5"/>
    <w:rsid w:val="0097350A"/>
    <w:rsid w:val="009756F9"/>
    <w:rsid w:val="00976233"/>
    <w:rsid w:val="00977EB7"/>
    <w:rsid w:val="00991460"/>
    <w:rsid w:val="0099414A"/>
    <w:rsid w:val="009A3812"/>
    <w:rsid w:val="009C2125"/>
    <w:rsid w:val="009C3618"/>
    <w:rsid w:val="009D5465"/>
    <w:rsid w:val="009E0479"/>
    <w:rsid w:val="009E04C4"/>
    <w:rsid w:val="009F141E"/>
    <w:rsid w:val="009F448F"/>
    <w:rsid w:val="009F50F7"/>
    <w:rsid w:val="009F52B6"/>
    <w:rsid w:val="009F67C0"/>
    <w:rsid w:val="009F7863"/>
    <w:rsid w:val="00A028CD"/>
    <w:rsid w:val="00A06FCA"/>
    <w:rsid w:val="00A126BF"/>
    <w:rsid w:val="00A12BDF"/>
    <w:rsid w:val="00A14C45"/>
    <w:rsid w:val="00A161ED"/>
    <w:rsid w:val="00A21F41"/>
    <w:rsid w:val="00A23696"/>
    <w:rsid w:val="00A32F01"/>
    <w:rsid w:val="00A33454"/>
    <w:rsid w:val="00A414D7"/>
    <w:rsid w:val="00A42507"/>
    <w:rsid w:val="00A44E7B"/>
    <w:rsid w:val="00A51835"/>
    <w:rsid w:val="00A51B0D"/>
    <w:rsid w:val="00A57E6D"/>
    <w:rsid w:val="00A615DA"/>
    <w:rsid w:val="00A6193D"/>
    <w:rsid w:val="00A64321"/>
    <w:rsid w:val="00A64AB1"/>
    <w:rsid w:val="00A71429"/>
    <w:rsid w:val="00A72BE8"/>
    <w:rsid w:val="00A756E3"/>
    <w:rsid w:val="00A75BCB"/>
    <w:rsid w:val="00A774B3"/>
    <w:rsid w:val="00A85033"/>
    <w:rsid w:val="00A85533"/>
    <w:rsid w:val="00A900D5"/>
    <w:rsid w:val="00A92DF7"/>
    <w:rsid w:val="00AA1D03"/>
    <w:rsid w:val="00AA4755"/>
    <w:rsid w:val="00AB18AF"/>
    <w:rsid w:val="00AB322A"/>
    <w:rsid w:val="00AB5D58"/>
    <w:rsid w:val="00AC0A7D"/>
    <w:rsid w:val="00AC1334"/>
    <w:rsid w:val="00AD626C"/>
    <w:rsid w:val="00AF1604"/>
    <w:rsid w:val="00AF2C34"/>
    <w:rsid w:val="00B00B49"/>
    <w:rsid w:val="00B00C40"/>
    <w:rsid w:val="00B028D9"/>
    <w:rsid w:val="00B0385A"/>
    <w:rsid w:val="00B1321B"/>
    <w:rsid w:val="00B14017"/>
    <w:rsid w:val="00B14F32"/>
    <w:rsid w:val="00B175CD"/>
    <w:rsid w:val="00B24955"/>
    <w:rsid w:val="00B25B85"/>
    <w:rsid w:val="00B27EDA"/>
    <w:rsid w:val="00B3366B"/>
    <w:rsid w:val="00B46F54"/>
    <w:rsid w:val="00B55397"/>
    <w:rsid w:val="00B558BB"/>
    <w:rsid w:val="00B5725D"/>
    <w:rsid w:val="00B6006E"/>
    <w:rsid w:val="00B61F55"/>
    <w:rsid w:val="00B7033E"/>
    <w:rsid w:val="00B7435C"/>
    <w:rsid w:val="00B74460"/>
    <w:rsid w:val="00B76801"/>
    <w:rsid w:val="00B7719B"/>
    <w:rsid w:val="00B82321"/>
    <w:rsid w:val="00B83858"/>
    <w:rsid w:val="00B86595"/>
    <w:rsid w:val="00B93625"/>
    <w:rsid w:val="00B93CA5"/>
    <w:rsid w:val="00B95808"/>
    <w:rsid w:val="00BA1495"/>
    <w:rsid w:val="00BB72E6"/>
    <w:rsid w:val="00BC1B50"/>
    <w:rsid w:val="00BC3B0E"/>
    <w:rsid w:val="00BD1AA7"/>
    <w:rsid w:val="00BD23EE"/>
    <w:rsid w:val="00BD48ED"/>
    <w:rsid w:val="00BD5723"/>
    <w:rsid w:val="00BD7BB8"/>
    <w:rsid w:val="00BF0A2E"/>
    <w:rsid w:val="00C00753"/>
    <w:rsid w:val="00C11844"/>
    <w:rsid w:val="00C14F05"/>
    <w:rsid w:val="00C23740"/>
    <w:rsid w:val="00C2378E"/>
    <w:rsid w:val="00C369B6"/>
    <w:rsid w:val="00C408EA"/>
    <w:rsid w:val="00C4384F"/>
    <w:rsid w:val="00C57BFF"/>
    <w:rsid w:val="00C60544"/>
    <w:rsid w:val="00C61EA3"/>
    <w:rsid w:val="00C637C8"/>
    <w:rsid w:val="00C65E80"/>
    <w:rsid w:val="00C6739E"/>
    <w:rsid w:val="00C7386D"/>
    <w:rsid w:val="00C74E32"/>
    <w:rsid w:val="00C807C2"/>
    <w:rsid w:val="00C807E9"/>
    <w:rsid w:val="00C81916"/>
    <w:rsid w:val="00C82670"/>
    <w:rsid w:val="00C8359C"/>
    <w:rsid w:val="00C852B5"/>
    <w:rsid w:val="00C863B8"/>
    <w:rsid w:val="00CA18C4"/>
    <w:rsid w:val="00CB3C2D"/>
    <w:rsid w:val="00CC21DA"/>
    <w:rsid w:val="00CC23A9"/>
    <w:rsid w:val="00CC68A6"/>
    <w:rsid w:val="00CD1B24"/>
    <w:rsid w:val="00CD3E77"/>
    <w:rsid w:val="00CD657B"/>
    <w:rsid w:val="00CD7262"/>
    <w:rsid w:val="00CE077A"/>
    <w:rsid w:val="00CE4F3A"/>
    <w:rsid w:val="00CF2B10"/>
    <w:rsid w:val="00CF3978"/>
    <w:rsid w:val="00CF5F65"/>
    <w:rsid w:val="00CF63C2"/>
    <w:rsid w:val="00CF7CE4"/>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5017F"/>
    <w:rsid w:val="00D64523"/>
    <w:rsid w:val="00D646CC"/>
    <w:rsid w:val="00D66520"/>
    <w:rsid w:val="00D705C5"/>
    <w:rsid w:val="00D83187"/>
    <w:rsid w:val="00D9340E"/>
    <w:rsid w:val="00D95819"/>
    <w:rsid w:val="00DA03EA"/>
    <w:rsid w:val="00DA4CC4"/>
    <w:rsid w:val="00DA6170"/>
    <w:rsid w:val="00DB0B95"/>
    <w:rsid w:val="00DB3E97"/>
    <w:rsid w:val="00DC670C"/>
    <w:rsid w:val="00DC70EB"/>
    <w:rsid w:val="00DD293D"/>
    <w:rsid w:val="00DD3556"/>
    <w:rsid w:val="00DD3D64"/>
    <w:rsid w:val="00DD66E6"/>
    <w:rsid w:val="00DE0B47"/>
    <w:rsid w:val="00DE1892"/>
    <w:rsid w:val="00DE4F9F"/>
    <w:rsid w:val="00DE5851"/>
    <w:rsid w:val="00E03836"/>
    <w:rsid w:val="00E041BF"/>
    <w:rsid w:val="00E14AF6"/>
    <w:rsid w:val="00E16999"/>
    <w:rsid w:val="00E22B1B"/>
    <w:rsid w:val="00E272E8"/>
    <w:rsid w:val="00E363E7"/>
    <w:rsid w:val="00E44734"/>
    <w:rsid w:val="00E46CD3"/>
    <w:rsid w:val="00E4744F"/>
    <w:rsid w:val="00E51408"/>
    <w:rsid w:val="00E51A3D"/>
    <w:rsid w:val="00E531A6"/>
    <w:rsid w:val="00E62C52"/>
    <w:rsid w:val="00E67DC3"/>
    <w:rsid w:val="00E7653F"/>
    <w:rsid w:val="00E76D1B"/>
    <w:rsid w:val="00E80E73"/>
    <w:rsid w:val="00E81EAC"/>
    <w:rsid w:val="00E87BBF"/>
    <w:rsid w:val="00E909FD"/>
    <w:rsid w:val="00E93C30"/>
    <w:rsid w:val="00EA07B4"/>
    <w:rsid w:val="00EA3502"/>
    <w:rsid w:val="00EC1AB0"/>
    <w:rsid w:val="00EC26CE"/>
    <w:rsid w:val="00EC634B"/>
    <w:rsid w:val="00ED12EF"/>
    <w:rsid w:val="00ED327C"/>
    <w:rsid w:val="00ED392D"/>
    <w:rsid w:val="00ED62DC"/>
    <w:rsid w:val="00EE689C"/>
    <w:rsid w:val="00EF18EF"/>
    <w:rsid w:val="00EF2C05"/>
    <w:rsid w:val="00EF37B4"/>
    <w:rsid w:val="00EF3EF8"/>
    <w:rsid w:val="00EF60A7"/>
    <w:rsid w:val="00EF71FE"/>
    <w:rsid w:val="00F009F9"/>
    <w:rsid w:val="00F11FAF"/>
    <w:rsid w:val="00F128E6"/>
    <w:rsid w:val="00F133F8"/>
    <w:rsid w:val="00F1373D"/>
    <w:rsid w:val="00F221F0"/>
    <w:rsid w:val="00F22CE6"/>
    <w:rsid w:val="00F25604"/>
    <w:rsid w:val="00F30ECC"/>
    <w:rsid w:val="00F34D05"/>
    <w:rsid w:val="00F413CA"/>
    <w:rsid w:val="00F508CA"/>
    <w:rsid w:val="00F54A3D"/>
    <w:rsid w:val="00F55927"/>
    <w:rsid w:val="00F55A83"/>
    <w:rsid w:val="00F571C7"/>
    <w:rsid w:val="00F61585"/>
    <w:rsid w:val="00F630D3"/>
    <w:rsid w:val="00F76E67"/>
    <w:rsid w:val="00F772B3"/>
    <w:rsid w:val="00F800FD"/>
    <w:rsid w:val="00F94939"/>
    <w:rsid w:val="00F94962"/>
    <w:rsid w:val="00FA1374"/>
    <w:rsid w:val="00FA6B9F"/>
    <w:rsid w:val="00FA6D8B"/>
    <w:rsid w:val="00FB0783"/>
    <w:rsid w:val="00FB0831"/>
    <w:rsid w:val="00FB24BC"/>
    <w:rsid w:val="00FB393D"/>
    <w:rsid w:val="00FC1AA3"/>
    <w:rsid w:val="00FC414C"/>
    <w:rsid w:val="00FC4970"/>
    <w:rsid w:val="00FC4C60"/>
    <w:rsid w:val="00FC5274"/>
    <w:rsid w:val="00FD2036"/>
    <w:rsid w:val="00FE728F"/>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ai.stanford.edu/~ang/papers/cv-final.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B366E002-26FC-D745-A330-C9D01425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46</Pages>
  <Words>9240</Words>
  <Characters>52670</Characters>
  <Application>Microsoft Macintosh Word</Application>
  <DocSecurity>0</DocSecurity>
  <Lines>438</Lines>
  <Paragraphs>123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61787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24</cp:revision>
  <dcterms:created xsi:type="dcterms:W3CDTF">2016-03-09T11:24:00Z</dcterms:created>
  <dcterms:modified xsi:type="dcterms:W3CDTF">2016-03-09T14:26:00Z</dcterms:modified>
</cp:coreProperties>
</file>