
<file path=[Content_Types].xml><?xml version="1.0" encoding="utf-8"?>
<Types xmlns="http://schemas.openxmlformats.org/package/2006/content-types">
  <Default Extension="xml" ContentType="application/xml"/>
  <Default Extension="emf" ContentType="image/x-emf"/>
  <Default Extension="tiff" ContentType="image/tif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ind w:left="480" w:hanging="480"/>
        <w:jc w:val="center"/>
        <w:rPr>
          <w:rFonts w:ascii="Arial" w:hAnsi="Arial"/>
          <w:b/>
          <w:sz w:val="22"/>
          <w:u w:val="single"/>
        </w:rPr>
      </w:pPr>
      <w:bookmarkStart w:id="0" w:name="_GoBack"/>
      <w:bookmarkEnd w:id="0"/>
      <w:r>
        <w:rPr>
          <w:rFonts w:ascii="Arial" w:hAnsi="Arial"/>
          <w:b/>
          <w:sz w:val="22"/>
          <w:u w:val="single"/>
        </w:rPr>
        <w:t>Supporting information</w:t>
      </w:r>
    </w:p>
    <w:p>
      <w:pPr>
        <w:pStyle w:val="8"/>
        <w:ind w:left="480" w:hanging="480"/>
        <w:rPr>
          <w:rFonts w:ascii="Arial" w:hAnsi="Arial"/>
          <w:b/>
          <w:i/>
        </w:rPr>
      </w:pPr>
    </w:p>
    <w:p>
      <w:pPr>
        <w:pStyle w:val="3"/>
        <w:keepNext/>
        <w:jc w:val="both"/>
        <w:rPr>
          <w:rFonts w:ascii="Arial" w:hAnsi="Arial"/>
          <w:b w:val="0"/>
          <w:i/>
        </w:rPr>
      </w:pPr>
      <w:r>
        <w:rPr>
          <w:rFonts w:ascii="Arial" w:hAnsi="Arial" w:cs="Arial"/>
          <w:b w:val="0"/>
          <w:color w:val="auto"/>
          <w:sz w:val="20"/>
          <w:u w:val="single"/>
        </w:rPr>
        <w:t xml:space="preserve">Appendix S1: Maximum dive depths </w:t>
      </w:r>
    </w:p>
    <w:p>
      <w:pPr>
        <w:pStyle w:val="8"/>
        <w:ind w:left="480" w:hanging="480"/>
        <w:rPr>
          <w:rFonts w:ascii="Arial" w:hAnsi="Arial"/>
          <w:u w:val="single"/>
        </w:rPr>
      </w:pPr>
      <w:r>
        <w:rPr>
          <w:rFonts w:ascii="Arial" w:hAnsi="Arial"/>
          <w:u w:val="single"/>
          <w:lang w:val="en-US"/>
        </w:rPr>
        <w:drawing>
          <wp:inline distT="0" distB="0" distL="0" distR="0">
            <wp:extent cx="4450715" cy="5759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0" y="0"/>
                      <a:ext cx="4450982" cy="5760000"/>
                    </a:xfrm>
                    <a:prstGeom prst="rect">
                      <a:avLst/>
                    </a:prstGeom>
                  </pic:spPr>
                </pic:pic>
              </a:graphicData>
            </a:graphic>
          </wp:inline>
        </w:drawing>
      </w:r>
    </w:p>
    <w:p>
      <w:pPr>
        <w:keepNext/>
        <w:spacing w:line="360" w:lineRule="auto"/>
        <w:jc w:val="both"/>
      </w:pPr>
    </w:p>
    <w:p>
      <w:pPr>
        <w:pStyle w:val="3"/>
        <w:spacing w:line="360" w:lineRule="auto"/>
        <w:jc w:val="both"/>
        <w:rPr>
          <w:rFonts w:ascii="Arial" w:hAnsi="Arial"/>
          <w:color w:val="auto"/>
          <w:sz w:val="20"/>
          <w:u w:val="single"/>
        </w:rPr>
      </w:pPr>
      <w:r>
        <w:rPr>
          <w:rFonts w:ascii="Arial" w:hAnsi="Arial"/>
          <w:color w:val="auto"/>
        </w:rPr>
        <w:t>Figure S1.1: The log</w:t>
      </w:r>
      <w:r>
        <w:rPr>
          <w:rFonts w:ascii="Arial" w:hAnsi="Arial"/>
          <w:color w:val="auto"/>
          <w:vertAlign w:val="subscript"/>
        </w:rPr>
        <w:t>10</w:t>
      </w:r>
      <w:r>
        <w:rPr>
          <w:rFonts w:ascii="Arial" w:hAnsi="Arial"/>
          <w:color w:val="auto"/>
        </w:rPr>
        <w:t xml:space="preserve"> maximum depths of common guillemots, European shags and razorbills tracked with TDR devices. </w:t>
      </w:r>
    </w:p>
    <w:p>
      <w:pPr>
        <w:pStyle w:val="3"/>
        <w:keepNext/>
      </w:pPr>
      <w:r>
        <w:rPr>
          <w:rFonts w:ascii="Arial" w:hAnsi="Arial"/>
          <w:color w:val="auto"/>
        </w:rPr>
        <w:br w:type="page"/>
      </w:r>
    </w:p>
    <w:p>
      <w:pPr>
        <w:pStyle w:val="3"/>
        <w:keepNext/>
        <w:spacing w:line="480" w:lineRule="auto"/>
        <w:rPr>
          <w:rFonts w:ascii="Arial" w:hAnsi="Arial" w:cs="Arial"/>
          <w:b w:val="0"/>
          <w:color w:val="auto"/>
        </w:rPr>
      </w:pPr>
      <w:r>
        <w:rPr>
          <w:rFonts w:ascii="Arial" w:hAnsi="Arial"/>
          <w:b w:val="0"/>
          <w:color w:val="auto"/>
          <w:sz w:val="20"/>
          <w:u w:val="single"/>
        </w:rPr>
        <w:t>Appendix S2: Interpolation of the GPS data</w:t>
      </w:r>
    </w:p>
    <w:p>
      <w:pPr>
        <w:spacing w:line="480" w:lineRule="auto"/>
        <w:jc w:val="both"/>
        <w:rPr>
          <w:rFonts w:ascii="Arial" w:hAnsi="Arial"/>
          <w:sz w:val="20"/>
          <w:u w:val="single"/>
        </w:rPr>
      </w:pPr>
    </w:p>
    <w:p>
      <w:pPr>
        <w:spacing w:line="480" w:lineRule="auto"/>
        <w:jc w:val="both"/>
        <w:rPr>
          <w:rFonts w:ascii="Arial" w:hAnsi="Arial"/>
          <w:sz w:val="20"/>
        </w:rPr>
      </w:pPr>
      <w:r>
        <w:rPr>
          <w:rFonts w:ascii="Arial" w:hAnsi="Arial"/>
          <w:sz w:val="20"/>
        </w:rPr>
        <w:t xml:space="preserve">Due to gaps in the GPS data, interpolation of missing locations was necessary in order to calculate the coverage, speed and tortuosity. We used a linear method as opposed to the curvilinear method, which is more commonly used when interpolating animal tracking data. This was due to the erroneous interpolation that occurred when we implemented the curvilinear method, causing overestimation of the path length. Using the linear method estimates a conservative, straight path between two points, something that is unlikely to occur in the fluid environment of air or water </w:t>
      </w:r>
      <w:r>
        <w:rPr>
          <w:rFonts w:ascii="Arial" w:hAnsi="Arial"/>
          <w:sz w:val="20"/>
        </w:rPr>
        <w:fldChar w:fldCharType="begin" w:fldLock="1"/>
      </w:r>
      <w:r>
        <w:rPr>
          <w:rFonts w:ascii="Arial" w:hAnsi="Arial"/>
          <w:sz w:val="20"/>
        </w:rPr>
        <w:instrText xml:space="preserve">ADDIN CSL_CITATION { "citationItems" : [ { "id" : "ITEM-1", "itemData" : { "DOI" : "10.1242/jeb.01970", "abstract" : "Interpolation of geolocation or Argos tracking data is a necessity for\nhabitat use analyses of marine vertebrates. In a fluid marine environment,\ncharacterized by curvilinear structures, linearly interpolated track data are\nnot realistic. Based on these two facts, we interpolated tracking data from\nalbatrosses, penguins, boobies, sea lions, fur seals and elephant seals using\nsix mathematical algorithms. Given their popularity in mathematical computing,\nwe chose B\u00e9zier, hermite and cubic splines, in addition to a commonly\nused linear algorithm to interpolate data. Performance of interpolation\nmethods was compared with different temporal resolutions representative of the\nless-precise geolocation and the more-precise Argos tracking techniques.\nParameters from interpolated sub-sampled tracks were compared with those\nobtained from intact tracks. Average accuracy of the interpolated location was\nnot affected by the interpolation method and was always within the precision\nof the tracking technique used. However, depending on the species tested, some\ncurvilinear interpolation algorithms produced greater occurrences of more\naccurate locations, compared with the linear interpolation method. Total track\nlengths were consistently underestimated but were always more accurate using\ncurvilinear interpolation than linear interpolation. Curvilinear algorithms\nare safe to use because accuracy, shape and length of the tracks are either\nnot different or are slightly enhanced and because analyses always remain\nconservative. The choice of the curvilinear algorithm does not affect the\nresulting track dramatically so it should not preclude their use. We thus\nrecommend using curvilinear interpolation techniques because of the more\nrealistic fluid movements of animals. We also provide some guidelines for\nchoosing an algorithm that is most likely to maximize track quality for\ndifferent types of marine vertebrates.", "author" : [ { "dropping-particle" : "", "family" : "Tremblay", "given" : "Yann", "non-dropping-particle" : "", "parse-names" : false, "suffix" : "" }, { "dropping-particle" : "", "family" : "Shaffer", "given" : "Scott A", "non-dropping-particle" : "", "parse-names" : false, "suffix" : "" }, { "dropping-particle" : "", "family" : "Fowler", "given" : "Shannon L", "non-dropping-particle" : "", "parse-names" : false, "suffix" : "" }, { "dropping-particle" : "", "family" : "Kuhn", "given" : "Carey E", "non-dropping-particle" : "", "parse-names" : false, "suffix" : "" }, { "dropping-particle" : "", "family" : "McDonald", "given" : "Birgitte I", "non-dropping-particle" : "", "parse-names" : false, "suffix" : "" }, { "dropping-particle" : "", "family" : "Weise", "given" : "Michael J", "non-dropping-particle" : "", "parse-names" : false, "suffix" : "" }, { "dropping-particle" : "", "family" : "Bost", "given" : "Charle-Andr\u00e9", "non-dropping-particle" : "", "parse-names" : false, "suffix" : "" }, { "dropping-particle" : "", "family" : "Weimerskirch", "given" : "Henri", "non-dropping-particle" : "", "parse-names" : false, "suffix" : "" }, { "dropping-particle" : "", "family" : "Crocker", "given" : "Daniel E", "non-dropping-particle" : "", "parse-names" : false, "suffix" : "" }, { "dropping-particle" : "", "family" : "Goebel", "given" : "Michael E", "non-dropping-particle" : "", "parse-names" : false, "suffix" : "" }, { "dropping-particle" : "", "family" : "Costa", "given" : "Daniel P", "non-dropping-particle" : "", "parse-names" : false, "suffix" : "" } ], "container-title" : "Journal of Experimental Biology ", "id" : "ITEM-1", "issue" : "1 ", "issued" : { "date-parts" : [ [ "2006", "1", "1" ] ] }, "note" : "10.1242/jeb.01970", "page" : "128-140", "title" : "Interpolation of animal tracking data in a fluid environment", "type" : "article-journal", "volume" : "209 " }, "uris" : [ "http://www.mendeley.com/documents/?uuid=a09c3637-114c-40f2-868b-8d0363d8efef" ] } ], "mendeley" : { "formattedCitation" : "(Tremblay et al. 2006)", "plainTextFormattedCitation" : "(Tremblay et al. 2006)", "previouslyFormattedCitation" : "(Tremblay et al. 2006)" }, "properties" : { "noteIndex" : 0 }, "schema" : "https://github.com/citation-style-language/schema/raw/master/csl-citation.json" }</w:instrText>
      </w:r>
      <w:r>
        <w:rPr>
          <w:rFonts w:ascii="Arial" w:hAnsi="Arial"/>
          <w:sz w:val="20"/>
        </w:rPr>
        <w:fldChar w:fldCharType="separate"/>
      </w:r>
      <w:r>
        <w:rPr>
          <w:rFonts w:ascii="Arial" w:hAnsi="Arial"/>
          <w:sz w:val="20"/>
        </w:rPr>
        <w:t>(Tremblay et al. 2006)</w:t>
      </w:r>
      <w:r>
        <w:rPr>
          <w:rFonts w:ascii="Arial" w:hAnsi="Arial"/>
          <w:sz w:val="20"/>
        </w:rPr>
        <w:fldChar w:fldCharType="end"/>
      </w:r>
      <w:r>
        <w:rPr>
          <w:rFonts w:ascii="Arial" w:hAnsi="Arial"/>
          <w:sz w:val="20"/>
        </w:rPr>
        <w:t>. A seabird is affected by the wind when flying, or when diving by the current, and usually exhibits a sinuous path. Thus by using the linear method, we are likely to have underestimated path length and the tortuosity of parts of the path where large gaps in GPS data occurred. Small scale, complex movements between points are likely to have been lost during interpolation.</w:t>
      </w:r>
    </w:p>
    <w:p>
      <w:pPr>
        <w:spacing w:line="480" w:lineRule="auto"/>
        <w:jc w:val="both"/>
        <w:rPr>
          <w:rFonts w:ascii="Arial" w:hAnsi="Arial"/>
          <w:sz w:val="20"/>
        </w:rPr>
      </w:pPr>
    </w:p>
    <w:p>
      <w:pPr>
        <w:spacing w:line="480" w:lineRule="auto"/>
        <w:jc w:val="both"/>
        <w:rPr>
          <w:rFonts w:ascii="Arial" w:hAnsi="Arial"/>
          <w:sz w:val="20"/>
        </w:rPr>
      </w:pPr>
    </w:p>
    <w:p>
      <w:pPr>
        <w:spacing w:line="480" w:lineRule="auto"/>
        <w:jc w:val="both"/>
        <w:rPr>
          <w:rFonts w:ascii="Arial" w:hAnsi="Arial"/>
          <w:b/>
          <w:i/>
          <w:sz w:val="22"/>
        </w:rPr>
        <w:sectPr>
          <w:pgSz w:w="11900" w:h="16840"/>
          <w:pgMar w:top="1440" w:right="1800" w:bottom="1440" w:left="1800" w:header="708" w:footer="708" w:gutter="0"/>
          <w:cols w:space="708" w:num="1"/>
          <w:docGrid w:linePitch="360" w:charSpace="0"/>
        </w:sectPr>
      </w:pPr>
    </w:p>
    <w:p>
      <w:pPr>
        <w:pStyle w:val="3"/>
        <w:keepNext/>
        <w:rPr>
          <w:rFonts w:ascii="Arial" w:hAnsi="Arial"/>
          <w:b w:val="0"/>
          <w:color w:val="auto"/>
          <w:sz w:val="20"/>
          <w:u w:val="single"/>
        </w:rPr>
      </w:pPr>
      <w:r>
        <w:rPr>
          <w:rFonts w:ascii="Arial" w:hAnsi="Arial"/>
          <w:b w:val="0"/>
          <w:color w:val="auto"/>
          <w:sz w:val="20"/>
          <w:u w:val="single"/>
        </w:rPr>
        <w:t>Appendix S3: The impact of different dive classifications on predictive accuracy</w:t>
      </w:r>
    </w:p>
    <w:p>
      <w:pPr>
        <w:pStyle w:val="3"/>
        <w:keepNext/>
        <w:rPr>
          <w:rFonts w:ascii="Arial" w:hAnsi="Arial" w:cs="Arial"/>
          <w:b w:val="0"/>
          <w:color w:val="auto"/>
          <w:sz w:val="20"/>
          <w:u w:val="single"/>
        </w:rPr>
      </w:pPr>
    </w:p>
    <w:p>
      <w:pPr>
        <w:pStyle w:val="3"/>
        <w:keepNext/>
        <w:rPr>
          <w:rFonts w:ascii="Arial" w:hAnsi="Arial" w:cs="Arial"/>
          <w:b w:val="0"/>
          <w:color w:val="auto"/>
          <w:sz w:val="20"/>
          <w:u w:val="single"/>
        </w:rPr>
      </w:pPr>
      <w:r>
        <w:rPr>
          <w:rFonts w:ascii="Arial" w:hAnsi="Arial" w:cs="Arial"/>
          <w:b w:val="0"/>
          <w:color w:val="auto"/>
          <w:sz w:val="20"/>
          <w:u w:val="single"/>
        </w:rPr>
        <w:t>Table S3.1</w:t>
      </w:r>
    </w:p>
    <w:p>
      <w:pPr>
        <w:pStyle w:val="3"/>
        <w:keepNext/>
        <w:rPr>
          <w:rFonts w:ascii="Arial" w:hAnsi="Arial" w:cs="Arial"/>
          <w:color w:val="auto"/>
        </w:rPr>
      </w:pPr>
      <w:r>
        <w:rPr>
          <w:rFonts w:ascii="Arial" w:hAnsi="Arial" w:cs="Arial"/>
          <w:color w:val="auto"/>
        </w:rPr>
        <w:t>SI Table 1: European shag mean model results for six dive classifications using all four inputs and 10-fold cross validation.</w:t>
      </w:r>
    </w:p>
    <w:tbl>
      <w:tblPr>
        <w:tblStyle w:val="11"/>
        <w:tblW w:w="8423"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08"/>
        <w:gridCol w:w="1417"/>
        <w:gridCol w:w="992"/>
        <w:gridCol w:w="1134"/>
        <w:gridCol w:w="1134"/>
        <w:gridCol w:w="1134"/>
        <w:gridCol w:w="851"/>
        <w:gridCol w:w="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008" w:type="dxa"/>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Inputs</w:t>
            </w:r>
          </w:p>
        </w:tc>
        <w:tc>
          <w:tcPr>
            <w:tcW w:w="1417" w:type="dxa"/>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Dive classification (m)</w:t>
            </w:r>
          </w:p>
        </w:tc>
        <w:tc>
          <w:tcPr>
            <w:tcW w:w="992" w:type="dxa"/>
            <w:tcBorders>
              <w:bottom w:val="single" w:color="auto" w:sz="4" w:space="0"/>
            </w:tcBorders>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Training AUC</w:t>
            </w:r>
          </w:p>
        </w:tc>
        <w:tc>
          <w:tcPr>
            <w:tcW w:w="1134" w:type="dxa"/>
            <w:tcBorders>
              <w:bottom w:val="single" w:color="auto" w:sz="4" w:space="0"/>
            </w:tcBorders>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Validation AUC</w:t>
            </w:r>
          </w:p>
        </w:tc>
        <w:tc>
          <w:tcPr>
            <w:tcW w:w="1134" w:type="dxa"/>
            <w:tcBorders>
              <w:bottom w:val="single" w:color="auto" w:sz="4" w:space="0"/>
            </w:tcBorders>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Sensitivity</w:t>
            </w:r>
          </w:p>
          <w:p>
            <w:pPr>
              <w:jc w:val="center"/>
              <w:rPr>
                <w:rFonts w:ascii="Arial" w:hAnsi="Arial" w:eastAsia="Times New Roman" w:cs="Arial"/>
                <w:color w:val="000000"/>
                <w:sz w:val="18"/>
                <w:szCs w:val="20"/>
              </w:rPr>
            </w:pPr>
            <w:r>
              <w:rPr>
                <w:rFonts w:ascii="Arial" w:hAnsi="Arial" w:eastAsia="Times New Roman" w:cs="Arial"/>
                <w:color w:val="000000"/>
                <w:sz w:val="18"/>
                <w:szCs w:val="18"/>
              </w:rPr>
              <w:t>(% of correctly predicted dives)</w:t>
            </w:r>
          </w:p>
        </w:tc>
        <w:tc>
          <w:tcPr>
            <w:tcW w:w="1134" w:type="dxa"/>
            <w:tcBorders>
              <w:bottom w:val="single" w:color="auto" w:sz="4" w:space="0"/>
            </w:tcBorders>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Specificity</w:t>
            </w:r>
          </w:p>
          <w:p>
            <w:pPr>
              <w:jc w:val="center"/>
              <w:rPr>
                <w:rFonts w:ascii="Arial" w:hAnsi="Arial" w:eastAsia="Times New Roman" w:cs="Arial"/>
                <w:color w:val="000000"/>
                <w:sz w:val="18"/>
                <w:szCs w:val="20"/>
              </w:rPr>
            </w:pPr>
            <w:r>
              <w:rPr>
                <w:rFonts w:ascii="Arial" w:hAnsi="Arial" w:eastAsia="Times New Roman" w:cs="Arial"/>
                <w:color w:val="000000"/>
                <w:sz w:val="18"/>
                <w:szCs w:val="18"/>
              </w:rPr>
              <w:t>(% of correctly predicted non-dives)</w:t>
            </w:r>
          </w:p>
        </w:tc>
        <w:tc>
          <w:tcPr>
            <w:tcW w:w="851" w:type="dxa"/>
            <w:tcBorders>
              <w:bottom w:val="single" w:color="auto" w:sz="4" w:space="0"/>
            </w:tcBorders>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PPV</w:t>
            </w:r>
          </w:p>
        </w:tc>
        <w:tc>
          <w:tcPr>
            <w:tcW w:w="753" w:type="dxa"/>
            <w:tcBorders>
              <w:bottom w:val="single" w:color="auto" w:sz="4" w:space="0"/>
            </w:tcBorders>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NPV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008" w:type="dxa"/>
            <w:vMerge w:val="restart"/>
            <w:shd w:val="clear" w:color="auto" w:fill="auto"/>
            <w:noWrap/>
            <w:textDirection w:val="btLr"/>
            <w:vAlign w:val="center"/>
          </w:tcPr>
          <w:p>
            <w:pPr>
              <w:ind w:left="113" w:right="113"/>
              <w:jc w:val="center"/>
              <w:rPr>
                <w:rFonts w:ascii="Arial" w:hAnsi="Arial" w:eastAsia="Times New Roman" w:cs="Arial"/>
                <w:color w:val="000000"/>
                <w:sz w:val="18"/>
                <w:szCs w:val="20"/>
              </w:rPr>
            </w:pPr>
            <w:r>
              <w:rPr>
                <w:rFonts w:ascii="Arial" w:hAnsi="Arial" w:eastAsia="Times New Roman" w:cs="Arial"/>
                <w:color w:val="000000"/>
                <w:sz w:val="18"/>
                <w:szCs w:val="20"/>
              </w:rPr>
              <w:t>Altitude, coverage,</w:t>
            </w:r>
          </w:p>
          <w:p>
            <w:pPr>
              <w:ind w:left="113" w:right="113"/>
              <w:jc w:val="center"/>
              <w:rPr>
                <w:rFonts w:ascii="Arial" w:hAnsi="Arial" w:eastAsia="Times New Roman" w:cs="Arial"/>
                <w:color w:val="000000"/>
                <w:sz w:val="18"/>
                <w:szCs w:val="20"/>
              </w:rPr>
            </w:pPr>
            <w:r>
              <w:rPr>
                <w:rFonts w:ascii="Arial" w:hAnsi="Arial" w:eastAsia="Times New Roman" w:cs="Arial"/>
                <w:color w:val="000000"/>
                <w:sz w:val="18"/>
                <w:szCs w:val="20"/>
              </w:rPr>
              <w:t>Xbar and Ybar</w:t>
            </w:r>
          </w:p>
        </w:tc>
        <w:tc>
          <w:tcPr>
            <w:tcW w:w="1417" w:type="dxa"/>
            <w:tcBorders>
              <w:right w:val="single" w:color="auto" w:sz="4" w:space="0"/>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w:t>
            </w:r>
          </w:p>
        </w:tc>
        <w:tc>
          <w:tcPr>
            <w:tcW w:w="992" w:type="dxa"/>
            <w:tcBorders>
              <w:top w:val="single" w:color="auto" w:sz="4" w:space="0"/>
              <w:left w:val="single" w:color="auto" w:sz="4" w:space="0"/>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0.72</w:t>
            </w:r>
          </w:p>
        </w:tc>
        <w:tc>
          <w:tcPr>
            <w:tcW w:w="1134" w:type="dxa"/>
            <w:tcBorders>
              <w:top w:val="single" w:color="auto" w:sz="4" w:space="0"/>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0.70</w:t>
            </w:r>
          </w:p>
        </w:tc>
        <w:tc>
          <w:tcPr>
            <w:tcW w:w="1134" w:type="dxa"/>
            <w:tcBorders>
              <w:top w:val="single" w:color="auto" w:sz="4" w:space="0"/>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75.2%</w:t>
            </w:r>
          </w:p>
        </w:tc>
        <w:tc>
          <w:tcPr>
            <w:tcW w:w="1134" w:type="dxa"/>
            <w:tcBorders>
              <w:top w:val="single" w:color="auto" w:sz="4" w:space="0"/>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51.9%</w:t>
            </w:r>
          </w:p>
        </w:tc>
        <w:tc>
          <w:tcPr>
            <w:tcW w:w="851" w:type="dxa"/>
            <w:tcBorders>
              <w:top w:val="single" w:color="auto" w:sz="4" w:space="0"/>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0.42</w:t>
            </w:r>
          </w:p>
        </w:tc>
        <w:tc>
          <w:tcPr>
            <w:tcW w:w="753" w:type="dxa"/>
            <w:tcBorders>
              <w:top w:val="single" w:color="auto" w:sz="4" w:space="0"/>
              <w:left w:val="nil"/>
              <w:bottom w:val="nil"/>
              <w:right w:val="single" w:color="auto" w:sz="4" w:space="0"/>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0.82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008" w:type="dxa"/>
            <w:vMerge w:val="continue"/>
            <w:shd w:val="clear" w:color="auto" w:fill="auto"/>
            <w:noWrap/>
            <w:vAlign w:val="center"/>
          </w:tcPr>
          <w:p>
            <w:pPr>
              <w:jc w:val="center"/>
              <w:rPr>
                <w:rFonts w:ascii="Arial" w:hAnsi="Arial" w:eastAsia="Times New Roman" w:cs="Arial"/>
                <w:color w:val="000000"/>
                <w:sz w:val="18"/>
                <w:szCs w:val="20"/>
              </w:rPr>
            </w:pPr>
          </w:p>
        </w:tc>
        <w:tc>
          <w:tcPr>
            <w:tcW w:w="1417" w:type="dxa"/>
            <w:tcBorders>
              <w:right w:val="single" w:color="auto" w:sz="4" w:space="0"/>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1</w:t>
            </w:r>
          </w:p>
        </w:tc>
        <w:tc>
          <w:tcPr>
            <w:tcW w:w="992" w:type="dxa"/>
            <w:tcBorders>
              <w:top w:val="nil"/>
              <w:left w:val="single" w:color="auto" w:sz="4" w:space="0"/>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0.85</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0.82</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56.2%</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91.3%</w:t>
            </w:r>
          </w:p>
        </w:tc>
        <w:tc>
          <w:tcPr>
            <w:tcW w:w="85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0.59</w:t>
            </w:r>
          </w:p>
        </w:tc>
        <w:tc>
          <w:tcPr>
            <w:tcW w:w="753" w:type="dxa"/>
            <w:tcBorders>
              <w:top w:val="nil"/>
              <w:left w:val="nil"/>
              <w:bottom w:val="nil"/>
              <w:right w:val="single" w:color="auto" w:sz="4" w:space="0"/>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008" w:type="dxa"/>
            <w:vMerge w:val="continue"/>
            <w:shd w:val="clear" w:color="auto" w:fill="auto"/>
            <w:noWrap/>
            <w:vAlign w:val="center"/>
          </w:tcPr>
          <w:p>
            <w:pPr>
              <w:jc w:val="center"/>
              <w:rPr>
                <w:rFonts w:ascii="Arial" w:hAnsi="Arial" w:eastAsia="Times New Roman" w:cs="Arial"/>
                <w:color w:val="000000"/>
                <w:sz w:val="18"/>
                <w:szCs w:val="20"/>
              </w:rPr>
            </w:pPr>
          </w:p>
        </w:tc>
        <w:tc>
          <w:tcPr>
            <w:tcW w:w="1417" w:type="dxa"/>
            <w:tcBorders>
              <w:right w:val="single" w:color="auto" w:sz="4" w:space="0"/>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2</w:t>
            </w:r>
          </w:p>
        </w:tc>
        <w:tc>
          <w:tcPr>
            <w:tcW w:w="992" w:type="dxa"/>
            <w:tcBorders>
              <w:top w:val="nil"/>
              <w:left w:val="single" w:color="auto" w:sz="4" w:space="0"/>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0.95</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0.91</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70.5%</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92.9%</w:t>
            </w:r>
          </w:p>
        </w:tc>
        <w:tc>
          <w:tcPr>
            <w:tcW w:w="85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0.62</w:t>
            </w:r>
          </w:p>
        </w:tc>
        <w:tc>
          <w:tcPr>
            <w:tcW w:w="753" w:type="dxa"/>
            <w:tcBorders>
              <w:top w:val="nil"/>
              <w:left w:val="nil"/>
              <w:bottom w:val="nil"/>
              <w:right w:val="single" w:color="auto" w:sz="4" w:space="0"/>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trPr>
        <w:tc>
          <w:tcPr>
            <w:tcW w:w="1008" w:type="dxa"/>
            <w:vMerge w:val="continue"/>
            <w:shd w:val="clear" w:color="auto" w:fill="auto"/>
            <w:noWrap/>
            <w:vAlign w:val="center"/>
          </w:tcPr>
          <w:p>
            <w:pPr>
              <w:jc w:val="center"/>
              <w:rPr>
                <w:rFonts w:ascii="Arial" w:hAnsi="Arial" w:eastAsia="Times New Roman" w:cs="Arial"/>
                <w:color w:val="000000"/>
                <w:sz w:val="18"/>
                <w:szCs w:val="20"/>
              </w:rPr>
            </w:pPr>
          </w:p>
        </w:tc>
        <w:tc>
          <w:tcPr>
            <w:tcW w:w="1417" w:type="dxa"/>
            <w:tcBorders>
              <w:right w:val="single" w:color="auto" w:sz="4" w:space="0"/>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3</w:t>
            </w:r>
          </w:p>
        </w:tc>
        <w:tc>
          <w:tcPr>
            <w:tcW w:w="992" w:type="dxa"/>
            <w:tcBorders>
              <w:top w:val="nil"/>
              <w:left w:val="single" w:color="auto" w:sz="4" w:space="0"/>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0.95</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0.91</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68.1%</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93.3%</w:t>
            </w:r>
          </w:p>
        </w:tc>
        <w:tc>
          <w:tcPr>
            <w:tcW w:w="85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0.61</w:t>
            </w:r>
          </w:p>
        </w:tc>
        <w:tc>
          <w:tcPr>
            <w:tcW w:w="753" w:type="dxa"/>
            <w:tcBorders>
              <w:top w:val="nil"/>
              <w:left w:val="nil"/>
              <w:bottom w:val="nil"/>
              <w:right w:val="single" w:color="auto" w:sz="4" w:space="0"/>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008" w:type="dxa"/>
            <w:vMerge w:val="continue"/>
            <w:shd w:val="clear" w:color="auto" w:fill="auto"/>
            <w:noWrap/>
            <w:vAlign w:val="center"/>
          </w:tcPr>
          <w:p>
            <w:pPr>
              <w:jc w:val="center"/>
              <w:rPr>
                <w:rFonts w:ascii="Arial" w:hAnsi="Arial" w:eastAsia="Times New Roman" w:cs="Arial"/>
                <w:color w:val="000000"/>
                <w:sz w:val="18"/>
                <w:szCs w:val="20"/>
              </w:rPr>
            </w:pPr>
          </w:p>
        </w:tc>
        <w:tc>
          <w:tcPr>
            <w:tcW w:w="1417" w:type="dxa"/>
            <w:tcBorders>
              <w:right w:val="single" w:color="auto" w:sz="4" w:space="0"/>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4</w:t>
            </w:r>
          </w:p>
        </w:tc>
        <w:tc>
          <w:tcPr>
            <w:tcW w:w="992" w:type="dxa"/>
            <w:tcBorders>
              <w:top w:val="nil"/>
              <w:left w:val="single" w:color="auto" w:sz="4" w:space="0"/>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0.95</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0.91</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67.3%</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93.5%</w:t>
            </w:r>
          </w:p>
        </w:tc>
        <w:tc>
          <w:tcPr>
            <w:tcW w:w="85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0.61</w:t>
            </w:r>
          </w:p>
        </w:tc>
        <w:tc>
          <w:tcPr>
            <w:tcW w:w="753" w:type="dxa"/>
            <w:tcBorders>
              <w:top w:val="nil"/>
              <w:left w:val="nil"/>
              <w:bottom w:val="nil"/>
              <w:right w:val="single" w:color="auto" w:sz="4" w:space="0"/>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4" w:hRule="atLeast"/>
        </w:trPr>
        <w:tc>
          <w:tcPr>
            <w:tcW w:w="1008" w:type="dxa"/>
            <w:vMerge w:val="continue"/>
            <w:shd w:val="clear" w:color="auto" w:fill="auto"/>
            <w:noWrap/>
            <w:vAlign w:val="center"/>
          </w:tcPr>
          <w:p>
            <w:pPr>
              <w:jc w:val="center"/>
              <w:rPr>
                <w:rFonts w:ascii="Arial" w:hAnsi="Arial" w:eastAsia="Times New Roman" w:cs="Arial"/>
                <w:color w:val="000000"/>
                <w:sz w:val="18"/>
                <w:szCs w:val="20"/>
              </w:rPr>
            </w:pPr>
          </w:p>
        </w:tc>
        <w:tc>
          <w:tcPr>
            <w:tcW w:w="1417" w:type="dxa"/>
            <w:tcBorders>
              <w:right w:val="single" w:color="auto" w:sz="4" w:space="0"/>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5</w:t>
            </w:r>
          </w:p>
        </w:tc>
        <w:tc>
          <w:tcPr>
            <w:tcW w:w="992" w:type="dxa"/>
            <w:tcBorders>
              <w:top w:val="nil"/>
              <w:left w:val="single" w:color="auto" w:sz="4" w:space="0"/>
              <w:bottom w:val="single" w:color="auto" w:sz="4" w:space="0"/>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0.95</w:t>
            </w:r>
          </w:p>
        </w:tc>
        <w:tc>
          <w:tcPr>
            <w:tcW w:w="1134" w:type="dxa"/>
            <w:tcBorders>
              <w:top w:val="nil"/>
              <w:left w:val="nil"/>
              <w:bottom w:val="single" w:color="auto" w:sz="4" w:space="0"/>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0.91</w:t>
            </w:r>
          </w:p>
        </w:tc>
        <w:tc>
          <w:tcPr>
            <w:tcW w:w="1134" w:type="dxa"/>
            <w:tcBorders>
              <w:top w:val="nil"/>
              <w:left w:val="nil"/>
              <w:bottom w:val="single" w:color="auto" w:sz="4" w:space="0"/>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68.4%</w:t>
            </w:r>
          </w:p>
        </w:tc>
        <w:tc>
          <w:tcPr>
            <w:tcW w:w="1134" w:type="dxa"/>
            <w:tcBorders>
              <w:top w:val="nil"/>
              <w:left w:val="nil"/>
              <w:bottom w:val="single" w:color="auto" w:sz="4" w:space="0"/>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92.9%</w:t>
            </w:r>
          </w:p>
        </w:tc>
        <w:tc>
          <w:tcPr>
            <w:tcW w:w="851" w:type="dxa"/>
            <w:tcBorders>
              <w:top w:val="nil"/>
              <w:left w:val="nil"/>
              <w:bottom w:val="single" w:color="auto" w:sz="4" w:space="0"/>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0.58</w:t>
            </w:r>
          </w:p>
        </w:tc>
        <w:tc>
          <w:tcPr>
            <w:tcW w:w="753" w:type="dxa"/>
            <w:tcBorders>
              <w:top w:val="nil"/>
              <w:left w:val="nil"/>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0.95</w:t>
            </w:r>
          </w:p>
        </w:tc>
      </w:tr>
    </w:tbl>
    <w:p>
      <w:pPr>
        <w:keepNext/>
        <w:jc w:val="both"/>
        <w:rPr>
          <w:rFonts w:ascii="Arial" w:hAnsi="Arial" w:cs="Arial"/>
        </w:rPr>
      </w:pPr>
    </w:p>
    <w:p>
      <w:pPr>
        <w:pStyle w:val="3"/>
        <w:keepNext/>
        <w:rPr>
          <w:rFonts w:ascii="Arial" w:hAnsi="Arial" w:cs="Arial"/>
          <w:color w:val="auto"/>
        </w:rPr>
      </w:pPr>
      <w:r>
        <w:rPr>
          <w:rFonts w:ascii="Arial" w:hAnsi="Arial" w:cs="Arial"/>
          <w:b w:val="0"/>
          <w:color w:val="auto"/>
          <w:sz w:val="20"/>
          <w:u w:val="single"/>
        </w:rPr>
        <w:t>Table S3.2</w:t>
      </w:r>
    </w:p>
    <w:p>
      <w:pPr>
        <w:pStyle w:val="3"/>
        <w:keepNext/>
        <w:rPr>
          <w:rFonts w:ascii="Arial" w:hAnsi="Arial" w:cs="Arial"/>
          <w:color w:val="auto"/>
        </w:rPr>
      </w:pPr>
      <w:r>
        <w:rPr>
          <w:rFonts w:ascii="Arial" w:hAnsi="Arial" w:cs="Arial"/>
          <w:color w:val="auto"/>
        </w:rPr>
        <w:t>SI Table 2: Common guillemot mean model results for six dive classifications using all four inputs and 10-fold cross validation.</w:t>
      </w:r>
    </w:p>
    <w:tbl>
      <w:tblPr>
        <w:tblStyle w:val="11"/>
        <w:tblW w:w="8423"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6"/>
        <w:gridCol w:w="1417"/>
        <w:gridCol w:w="1134"/>
        <w:gridCol w:w="1134"/>
        <w:gridCol w:w="1134"/>
        <w:gridCol w:w="1134"/>
        <w:gridCol w:w="851"/>
        <w:gridCol w:w="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66" w:type="dxa"/>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Inputs</w:t>
            </w:r>
          </w:p>
        </w:tc>
        <w:tc>
          <w:tcPr>
            <w:tcW w:w="1417" w:type="dxa"/>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Dive classification (m)</w:t>
            </w:r>
          </w:p>
        </w:tc>
        <w:tc>
          <w:tcPr>
            <w:tcW w:w="1134" w:type="dxa"/>
            <w:tcBorders>
              <w:bottom w:val="single" w:color="auto" w:sz="4" w:space="0"/>
            </w:tcBorders>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Training AUC</w:t>
            </w:r>
          </w:p>
        </w:tc>
        <w:tc>
          <w:tcPr>
            <w:tcW w:w="1134" w:type="dxa"/>
            <w:tcBorders>
              <w:bottom w:val="single" w:color="auto" w:sz="4" w:space="0"/>
            </w:tcBorders>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Validation AUC</w:t>
            </w:r>
          </w:p>
        </w:tc>
        <w:tc>
          <w:tcPr>
            <w:tcW w:w="1134" w:type="dxa"/>
            <w:tcBorders>
              <w:bottom w:val="single" w:color="auto" w:sz="4" w:space="0"/>
            </w:tcBorders>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Sensitivity</w:t>
            </w:r>
          </w:p>
          <w:p>
            <w:pPr>
              <w:jc w:val="center"/>
              <w:rPr>
                <w:rFonts w:ascii="Arial" w:hAnsi="Arial" w:eastAsia="Times New Roman" w:cs="Arial"/>
                <w:color w:val="000000"/>
                <w:sz w:val="18"/>
                <w:szCs w:val="20"/>
              </w:rPr>
            </w:pPr>
            <w:r>
              <w:rPr>
                <w:rFonts w:ascii="Arial" w:hAnsi="Arial" w:eastAsia="Times New Roman" w:cs="Arial"/>
                <w:color w:val="000000"/>
                <w:sz w:val="18"/>
                <w:szCs w:val="18"/>
              </w:rPr>
              <w:t>(% of correctly predicted dives)</w:t>
            </w:r>
          </w:p>
        </w:tc>
        <w:tc>
          <w:tcPr>
            <w:tcW w:w="1134" w:type="dxa"/>
            <w:tcBorders>
              <w:bottom w:val="single" w:color="auto" w:sz="4" w:space="0"/>
            </w:tcBorders>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Specificity</w:t>
            </w:r>
          </w:p>
          <w:p>
            <w:pPr>
              <w:jc w:val="center"/>
              <w:rPr>
                <w:rFonts w:ascii="Arial" w:hAnsi="Arial" w:eastAsia="Times New Roman" w:cs="Arial"/>
                <w:color w:val="000000"/>
                <w:sz w:val="18"/>
                <w:szCs w:val="20"/>
              </w:rPr>
            </w:pPr>
            <w:r>
              <w:rPr>
                <w:rFonts w:ascii="Arial" w:hAnsi="Arial" w:eastAsia="Times New Roman" w:cs="Arial"/>
                <w:color w:val="000000"/>
                <w:sz w:val="18"/>
                <w:szCs w:val="18"/>
              </w:rPr>
              <w:t>(% of correctly predicted non-dives)</w:t>
            </w:r>
          </w:p>
        </w:tc>
        <w:tc>
          <w:tcPr>
            <w:tcW w:w="851" w:type="dxa"/>
            <w:tcBorders>
              <w:bottom w:val="single" w:color="auto" w:sz="4" w:space="0"/>
            </w:tcBorders>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PPV</w:t>
            </w:r>
          </w:p>
        </w:tc>
        <w:tc>
          <w:tcPr>
            <w:tcW w:w="753" w:type="dxa"/>
            <w:tcBorders>
              <w:bottom w:val="single" w:color="auto" w:sz="4" w:space="0"/>
            </w:tcBorders>
            <w:shd w:val="clear" w:color="auto" w:fill="auto"/>
            <w:noWrap/>
            <w:vAlign w:val="center"/>
          </w:tcPr>
          <w:p>
            <w:pPr>
              <w:jc w:val="center"/>
              <w:rPr>
                <w:rFonts w:ascii="Arial" w:hAnsi="Arial" w:eastAsia="Times New Roman" w:cs="Arial"/>
                <w:b/>
                <w:color w:val="000000"/>
                <w:sz w:val="18"/>
                <w:szCs w:val="20"/>
              </w:rPr>
            </w:pPr>
            <w:r>
              <w:rPr>
                <w:rFonts w:ascii="Arial" w:hAnsi="Arial" w:eastAsia="Times New Roman" w:cs="Arial"/>
                <w:b/>
                <w:color w:val="000000"/>
                <w:sz w:val="18"/>
                <w:szCs w:val="20"/>
              </w:rPr>
              <w:t>NPV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66" w:type="dxa"/>
            <w:vMerge w:val="restart"/>
            <w:shd w:val="clear" w:color="auto" w:fill="auto"/>
            <w:noWrap/>
            <w:textDirection w:val="btLr"/>
            <w:vAlign w:val="center"/>
          </w:tcPr>
          <w:p>
            <w:pPr>
              <w:ind w:left="113" w:right="113"/>
              <w:jc w:val="center"/>
              <w:rPr>
                <w:rFonts w:ascii="Arial" w:hAnsi="Arial" w:eastAsia="Times New Roman" w:cs="Arial"/>
                <w:color w:val="000000"/>
                <w:sz w:val="18"/>
                <w:szCs w:val="20"/>
              </w:rPr>
            </w:pPr>
            <w:r>
              <w:rPr>
                <w:rFonts w:ascii="Arial" w:hAnsi="Arial" w:eastAsia="Times New Roman" w:cs="Arial"/>
                <w:color w:val="000000"/>
                <w:sz w:val="18"/>
                <w:szCs w:val="20"/>
              </w:rPr>
              <w:t>Altitude, coverage, Xbar and Ybar</w:t>
            </w:r>
          </w:p>
        </w:tc>
        <w:tc>
          <w:tcPr>
            <w:tcW w:w="1417" w:type="dxa"/>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w:t>
            </w:r>
          </w:p>
        </w:tc>
        <w:tc>
          <w:tcPr>
            <w:tcW w:w="1134" w:type="dxa"/>
            <w:tcBorders>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0.80</w:t>
            </w:r>
          </w:p>
        </w:tc>
        <w:tc>
          <w:tcPr>
            <w:tcW w:w="1134" w:type="dxa"/>
            <w:tcBorders>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0.78</w:t>
            </w:r>
          </w:p>
        </w:tc>
        <w:tc>
          <w:tcPr>
            <w:tcW w:w="1134" w:type="dxa"/>
            <w:tcBorders>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60.3%</w:t>
            </w:r>
          </w:p>
        </w:tc>
        <w:tc>
          <w:tcPr>
            <w:tcW w:w="1134" w:type="dxa"/>
            <w:tcBorders>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84.0%</w:t>
            </w:r>
          </w:p>
        </w:tc>
        <w:tc>
          <w:tcPr>
            <w:tcW w:w="851" w:type="dxa"/>
            <w:tcBorders>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0.65</w:t>
            </w:r>
          </w:p>
        </w:tc>
        <w:tc>
          <w:tcPr>
            <w:tcW w:w="753" w:type="dxa"/>
            <w:tcBorders>
              <w:left w:val="nil"/>
              <w:bottom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0.81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66" w:type="dxa"/>
            <w:vMerge w:val="continue"/>
            <w:shd w:val="clear" w:color="auto" w:fill="auto"/>
            <w:noWrap/>
            <w:vAlign w:val="center"/>
          </w:tcPr>
          <w:p>
            <w:pPr>
              <w:jc w:val="center"/>
              <w:rPr>
                <w:rFonts w:ascii="Arial" w:hAnsi="Arial" w:eastAsia="Times New Roman" w:cs="Arial"/>
                <w:color w:val="000000"/>
                <w:sz w:val="18"/>
                <w:szCs w:val="20"/>
              </w:rPr>
            </w:pPr>
          </w:p>
        </w:tc>
        <w:tc>
          <w:tcPr>
            <w:tcW w:w="1417" w:type="dxa"/>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1</w:t>
            </w:r>
          </w:p>
        </w:tc>
        <w:tc>
          <w:tcPr>
            <w:tcW w:w="1134" w:type="dxa"/>
            <w:tcBorders>
              <w:top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0.90</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0.88</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66.3%</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90.5%</w:t>
            </w:r>
          </w:p>
        </w:tc>
        <w:tc>
          <w:tcPr>
            <w:tcW w:w="85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0.68</w:t>
            </w:r>
          </w:p>
        </w:tc>
        <w:tc>
          <w:tcPr>
            <w:tcW w:w="753" w:type="dxa"/>
            <w:tcBorders>
              <w:top w:val="nil"/>
              <w:left w:val="nil"/>
              <w:bottom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66" w:type="dxa"/>
            <w:vMerge w:val="continue"/>
            <w:shd w:val="clear" w:color="auto" w:fill="auto"/>
            <w:noWrap/>
            <w:vAlign w:val="center"/>
          </w:tcPr>
          <w:p>
            <w:pPr>
              <w:jc w:val="center"/>
              <w:rPr>
                <w:rFonts w:ascii="Arial" w:hAnsi="Arial" w:eastAsia="Times New Roman" w:cs="Arial"/>
                <w:color w:val="000000"/>
                <w:sz w:val="18"/>
                <w:szCs w:val="20"/>
              </w:rPr>
            </w:pPr>
          </w:p>
        </w:tc>
        <w:tc>
          <w:tcPr>
            <w:tcW w:w="1417" w:type="dxa"/>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2</w:t>
            </w:r>
          </w:p>
        </w:tc>
        <w:tc>
          <w:tcPr>
            <w:tcW w:w="1134" w:type="dxa"/>
            <w:tcBorders>
              <w:top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0.91</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0.89</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66.2%</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92.5%</w:t>
            </w:r>
          </w:p>
        </w:tc>
        <w:tc>
          <w:tcPr>
            <w:tcW w:w="85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0.69</w:t>
            </w:r>
          </w:p>
        </w:tc>
        <w:tc>
          <w:tcPr>
            <w:tcW w:w="753" w:type="dxa"/>
            <w:tcBorders>
              <w:top w:val="nil"/>
              <w:left w:val="nil"/>
              <w:bottom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trPr>
        <w:tc>
          <w:tcPr>
            <w:tcW w:w="866" w:type="dxa"/>
            <w:vMerge w:val="continue"/>
            <w:shd w:val="clear" w:color="auto" w:fill="auto"/>
            <w:noWrap/>
            <w:vAlign w:val="center"/>
          </w:tcPr>
          <w:p>
            <w:pPr>
              <w:jc w:val="center"/>
              <w:rPr>
                <w:rFonts w:ascii="Arial" w:hAnsi="Arial" w:eastAsia="Times New Roman" w:cs="Arial"/>
                <w:color w:val="000000"/>
                <w:sz w:val="18"/>
                <w:szCs w:val="20"/>
              </w:rPr>
            </w:pPr>
          </w:p>
        </w:tc>
        <w:tc>
          <w:tcPr>
            <w:tcW w:w="1417" w:type="dxa"/>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3</w:t>
            </w:r>
          </w:p>
        </w:tc>
        <w:tc>
          <w:tcPr>
            <w:tcW w:w="1134" w:type="dxa"/>
            <w:tcBorders>
              <w:top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0.91</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0.89</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66.3%</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92.6%</w:t>
            </w:r>
          </w:p>
        </w:tc>
        <w:tc>
          <w:tcPr>
            <w:tcW w:w="85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0.67</w:t>
            </w:r>
          </w:p>
        </w:tc>
        <w:tc>
          <w:tcPr>
            <w:tcW w:w="753" w:type="dxa"/>
            <w:tcBorders>
              <w:top w:val="nil"/>
              <w:left w:val="nil"/>
              <w:bottom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66" w:type="dxa"/>
            <w:vMerge w:val="continue"/>
            <w:shd w:val="clear" w:color="auto" w:fill="auto"/>
            <w:noWrap/>
            <w:vAlign w:val="center"/>
          </w:tcPr>
          <w:p>
            <w:pPr>
              <w:jc w:val="center"/>
              <w:rPr>
                <w:rFonts w:ascii="Arial" w:hAnsi="Arial" w:eastAsia="Times New Roman" w:cs="Arial"/>
                <w:color w:val="000000"/>
                <w:sz w:val="18"/>
                <w:szCs w:val="20"/>
              </w:rPr>
            </w:pPr>
          </w:p>
        </w:tc>
        <w:tc>
          <w:tcPr>
            <w:tcW w:w="1417" w:type="dxa"/>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4</w:t>
            </w:r>
          </w:p>
        </w:tc>
        <w:tc>
          <w:tcPr>
            <w:tcW w:w="1134" w:type="dxa"/>
            <w:tcBorders>
              <w:top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0.92</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0.90</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68.9%</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92.3%</w:t>
            </w:r>
          </w:p>
        </w:tc>
        <w:tc>
          <w:tcPr>
            <w:tcW w:w="85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0.66</w:t>
            </w:r>
          </w:p>
        </w:tc>
        <w:tc>
          <w:tcPr>
            <w:tcW w:w="753" w:type="dxa"/>
            <w:tcBorders>
              <w:top w:val="nil"/>
              <w:left w:val="nil"/>
              <w:bottom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66" w:type="dxa"/>
            <w:vMerge w:val="continue"/>
            <w:shd w:val="clear" w:color="auto" w:fill="auto"/>
            <w:noWrap/>
            <w:vAlign w:val="center"/>
          </w:tcPr>
          <w:p>
            <w:pPr>
              <w:jc w:val="center"/>
              <w:rPr>
                <w:rFonts w:ascii="Arial" w:hAnsi="Arial" w:eastAsia="Times New Roman" w:cs="Arial"/>
                <w:color w:val="000000"/>
                <w:sz w:val="18"/>
                <w:szCs w:val="20"/>
              </w:rPr>
            </w:pPr>
          </w:p>
        </w:tc>
        <w:tc>
          <w:tcPr>
            <w:tcW w:w="1417" w:type="dxa"/>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5</w:t>
            </w:r>
          </w:p>
        </w:tc>
        <w:tc>
          <w:tcPr>
            <w:tcW w:w="1134" w:type="dxa"/>
            <w:tcBorders>
              <w:top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0.92</w:t>
            </w:r>
          </w:p>
        </w:tc>
        <w:tc>
          <w:tcPr>
            <w:tcW w:w="1134" w:type="dxa"/>
            <w:tcBorders>
              <w:top w:val="nil"/>
              <w:left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0.90</w:t>
            </w:r>
          </w:p>
        </w:tc>
        <w:tc>
          <w:tcPr>
            <w:tcW w:w="1134" w:type="dxa"/>
            <w:tcBorders>
              <w:top w:val="nil"/>
              <w:left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68.6%</w:t>
            </w:r>
          </w:p>
        </w:tc>
        <w:tc>
          <w:tcPr>
            <w:tcW w:w="1134" w:type="dxa"/>
            <w:tcBorders>
              <w:top w:val="nil"/>
              <w:left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92.2%</w:t>
            </w:r>
          </w:p>
        </w:tc>
        <w:tc>
          <w:tcPr>
            <w:tcW w:w="851" w:type="dxa"/>
            <w:tcBorders>
              <w:top w:val="nil"/>
              <w:left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0.64</w:t>
            </w:r>
          </w:p>
        </w:tc>
        <w:tc>
          <w:tcPr>
            <w:tcW w:w="753" w:type="dxa"/>
            <w:tcBorders>
              <w:top w:val="nil"/>
              <w:lef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0.93</w:t>
            </w:r>
          </w:p>
        </w:tc>
      </w:tr>
    </w:tbl>
    <w:p/>
    <w:p>
      <w:r>
        <w:rPr>
          <w:rFonts w:ascii="Arial" w:hAnsi="Arial" w:cs="Arial"/>
          <w:sz w:val="20"/>
          <w:u w:val="single"/>
        </w:rPr>
        <w:t>Table S3.3</w:t>
      </w:r>
    </w:p>
    <w:p>
      <w:pPr>
        <w:pStyle w:val="3"/>
        <w:keepNext/>
      </w:pPr>
      <w:r>
        <w:rPr>
          <w:rFonts w:ascii="Arial" w:hAnsi="Arial" w:cs="Arial"/>
          <w:color w:val="auto"/>
        </w:rPr>
        <w:t>SI Table 3: Razorbill mean model results for six dive classifications using all four inputs and 10-fold cross validation.</w:t>
      </w:r>
    </w:p>
    <w:tbl>
      <w:tblPr>
        <w:tblStyle w:val="11"/>
        <w:tblW w:w="8423" w:type="dxa"/>
        <w:tblInd w:w="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66"/>
        <w:gridCol w:w="1417"/>
        <w:gridCol w:w="1134"/>
        <w:gridCol w:w="1134"/>
        <w:gridCol w:w="1134"/>
        <w:gridCol w:w="1134"/>
        <w:gridCol w:w="851"/>
        <w:gridCol w:w="7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66" w:type="dxa"/>
            <w:shd w:val="clear" w:color="auto" w:fill="auto"/>
            <w:noWrap/>
            <w:vAlign w:val="center"/>
          </w:tcPr>
          <w:p>
            <w:pPr>
              <w:jc w:val="center"/>
              <w:rPr>
                <w:rFonts w:ascii="Arial" w:hAnsi="Arial" w:eastAsia="Times New Roman" w:cs="Arial"/>
                <w:b/>
                <w:bCs/>
                <w:color w:val="000000"/>
                <w:sz w:val="18"/>
                <w:szCs w:val="20"/>
              </w:rPr>
            </w:pPr>
            <w:r>
              <w:rPr>
                <w:rFonts w:ascii="Arial" w:hAnsi="Arial" w:eastAsia="Times New Roman" w:cs="Arial"/>
                <w:b/>
                <w:bCs/>
                <w:color w:val="000000"/>
                <w:sz w:val="18"/>
                <w:szCs w:val="20"/>
              </w:rPr>
              <w:t>Inputs</w:t>
            </w:r>
          </w:p>
        </w:tc>
        <w:tc>
          <w:tcPr>
            <w:tcW w:w="1417" w:type="dxa"/>
            <w:shd w:val="clear" w:color="auto" w:fill="auto"/>
            <w:noWrap/>
            <w:vAlign w:val="center"/>
          </w:tcPr>
          <w:p>
            <w:pPr>
              <w:jc w:val="center"/>
              <w:rPr>
                <w:rFonts w:ascii="Arial" w:hAnsi="Arial" w:eastAsia="Times New Roman" w:cs="Arial"/>
                <w:b/>
                <w:bCs/>
                <w:color w:val="000000"/>
                <w:sz w:val="18"/>
                <w:szCs w:val="20"/>
              </w:rPr>
            </w:pPr>
            <w:r>
              <w:rPr>
                <w:rFonts w:ascii="Arial" w:hAnsi="Arial" w:eastAsia="Times New Roman" w:cs="Arial"/>
                <w:b/>
                <w:bCs/>
                <w:color w:val="000000"/>
                <w:sz w:val="18"/>
                <w:szCs w:val="20"/>
              </w:rPr>
              <w:t>Dive classification (m)</w:t>
            </w:r>
          </w:p>
        </w:tc>
        <w:tc>
          <w:tcPr>
            <w:tcW w:w="1134" w:type="dxa"/>
            <w:tcBorders>
              <w:bottom w:val="single" w:color="auto" w:sz="4" w:space="0"/>
            </w:tcBorders>
            <w:shd w:val="clear" w:color="auto" w:fill="auto"/>
            <w:noWrap/>
            <w:vAlign w:val="center"/>
          </w:tcPr>
          <w:p>
            <w:pPr>
              <w:jc w:val="center"/>
              <w:rPr>
                <w:rFonts w:ascii="Arial" w:hAnsi="Arial" w:eastAsia="Times New Roman" w:cs="Arial"/>
                <w:b/>
                <w:bCs/>
                <w:color w:val="000000"/>
                <w:sz w:val="18"/>
                <w:szCs w:val="20"/>
              </w:rPr>
            </w:pPr>
            <w:r>
              <w:rPr>
                <w:rFonts w:ascii="Arial" w:hAnsi="Arial" w:eastAsia="Times New Roman" w:cs="Arial"/>
                <w:b/>
                <w:bCs/>
                <w:color w:val="000000"/>
                <w:sz w:val="18"/>
                <w:szCs w:val="20"/>
              </w:rPr>
              <w:t>Training AUC</w:t>
            </w:r>
          </w:p>
        </w:tc>
        <w:tc>
          <w:tcPr>
            <w:tcW w:w="1134" w:type="dxa"/>
            <w:tcBorders>
              <w:bottom w:val="single" w:color="auto" w:sz="4" w:space="0"/>
            </w:tcBorders>
            <w:shd w:val="clear" w:color="auto" w:fill="auto"/>
            <w:noWrap/>
            <w:vAlign w:val="center"/>
          </w:tcPr>
          <w:p>
            <w:pPr>
              <w:jc w:val="center"/>
              <w:rPr>
                <w:rFonts w:ascii="Arial" w:hAnsi="Arial" w:eastAsia="Times New Roman" w:cs="Arial"/>
                <w:b/>
                <w:bCs/>
                <w:color w:val="000000"/>
                <w:sz w:val="18"/>
                <w:szCs w:val="20"/>
              </w:rPr>
            </w:pPr>
            <w:r>
              <w:rPr>
                <w:rFonts w:ascii="Arial" w:hAnsi="Arial" w:eastAsia="Times New Roman" w:cs="Arial"/>
                <w:b/>
                <w:bCs/>
                <w:color w:val="000000"/>
                <w:sz w:val="18"/>
                <w:szCs w:val="20"/>
              </w:rPr>
              <w:t>Validation AUC</w:t>
            </w:r>
          </w:p>
        </w:tc>
        <w:tc>
          <w:tcPr>
            <w:tcW w:w="1134" w:type="dxa"/>
            <w:tcBorders>
              <w:bottom w:val="single" w:color="auto" w:sz="4" w:space="0"/>
            </w:tcBorders>
            <w:shd w:val="clear" w:color="auto" w:fill="auto"/>
            <w:noWrap/>
            <w:vAlign w:val="center"/>
          </w:tcPr>
          <w:p>
            <w:pPr>
              <w:jc w:val="center"/>
              <w:rPr>
                <w:rFonts w:ascii="Arial" w:hAnsi="Arial" w:eastAsia="Times New Roman" w:cs="Arial"/>
                <w:b/>
                <w:bCs/>
                <w:color w:val="000000"/>
                <w:sz w:val="18"/>
                <w:szCs w:val="20"/>
              </w:rPr>
            </w:pPr>
            <w:r>
              <w:rPr>
                <w:rFonts w:ascii="Arial" w:hAnsi="Arial" w:eastAsia="Times New Roman" w:cs="Arial"/>
                <w:b/>
                <w:bCs/>
                <w:color w:val="000000"/>
                <w:sz w:val="18"/>
                <w:szCs w:val="20"/>
              </w:rPr>
              <w:t>Sensitivity</w:t>
            </w:r>
          </w:p>
          <w:p>
            <w:pPr>
              <w:jc w:val="center"/>
              <w:rPr>
                <w:rFonts w:ascii="Arial" w:hAnsi="Arial" w:eastAsia="Times New Roman" w:cs="Arial"/>
                <w:bCs/>
                <w:color w:val="000000"/>
                <w:sz w:val="18"/>
                <w:szCs w:val="20"/>
              </w:rPr>
            </w:pPr>
            <w:r>
              <w:rPr>
                <w:rFonts w:ascii="Arial" w:hAnsi="Arial" w:eastAsia="Times New Roman" w:cs="Arial"/>
                <w:color w:val="000000"/>
                <w:sz w:val="18"/>
                <w:szCs w:val="18"/>
              </w:rPr>
              <w:t>(% of correctly predicted dives)</w:t>
            </w:r>
          </w:p>
        </w:tc>
        <w:tc>
          <w:tcPr>
            <w:tcW w:w="1134" w:type="dxa"/>
            <w:tcBorders>
              <w:bottom w:val="single" w:color="auto" w:sz="4" w:space="0"/>
            </w:tcBorders>
            <w:shd w:val="clear" w:color="auto" w:fill="auto"/>
            <w:noWrap/>
            <w:vAlign w:val="center"/>
          </w:tcPr>
          <w:p>
            <w:pPr>
              <w:jc w:val="center"/>
              <w:rPr>
                <w:rFonts w:ascii="Arial" w:hAnsi="Arial" w:eastAsia="Times New Roman" w:cs="Arial"/>
                <w:b/>
                <w:bCs/>
                <w:color w:val="000000"/>
                <w:sz w:val="18"/>
                <w:szCs w:val="20"/>
              </w:rPr>
            </w:pPr>
            <w:r>
              <w:rPr>
                <w:rFonts w:ascii="Arial" w:hAnsi="Arial" w:eastAsia="Times New Roman" w:cs="Arial"/>
                <w:b/>
                <w:bCs/>
                <w:color w:val="000000"/>
                <w:sz w:val="18"/>
                <w:szCs w:val="20"/>
              </w:rPr>
              <w:t>Specificity</w:t>
            </w:r>
          </w:p>
          <w:p>
            <w:pPr>
              <w:jc w:val="center"/>
              <w:rPr>
                <w:rFonts w:ascii="Arial" w:hAnsi="Arial" w:eastAsia="Times New Roman" w:cs="Arial"/>
                <w:bCs/>
                <w:color w:val="000000"/>
                <w:sz w:val="18"/>
                <w:szCs w:val="20"/>
              </w:rPr>
            </w:pPr>
            <w:r>
              <w:rPr>
                <w:rFonts w:ascii="Arial" w:hAnsi="Arial" w:eastAsia="Times New Roman" w:cs="Arial"/>
                <w:color w:val="000000"/>
                <w:sz w:val="18"/>
                <w:szCs w:val="18"/>
              </w:rPr>
              <w:t>(% of correctly predicted non-dives)</w:t>
            </w:r>
          </w:p>
        </w:tc>
        <w:tc>
          <w:tcPr>
            <w:tcW w:w="851" w:type="dxa"/>
            <w:tcBorders>
              <w:bottom w:val="single" w:color="auto" w:sz="4" w:space="0"/>
            </w:tcBorders>
            <w:shd w:val="clear" w:color="auto" w:fill="auto"/>
            <w:noWrap/>
            <w:vAlign w:val="center"/>
          </w:tcPr>
          <w:p>
            <w:pPr>
              <w:jc w:val="center"/>
              <w:rPr>
                <w:rFonts w:ascii="Arial" w:hAnsi="Arial" w:eastAsia="Times New Roman" w:cs="Arial"/>
                <w:b/>
                <w:bCs/>
                <w:color w:val="000000"/>
                <w:sz w:val="18"/>
                <w:szCs w:val="20"/>
              </w:rPr>
            </w:pPr>
            <w:r>
              <w:rPr>
                <w:rFonts w:ascii="Arial" w:hAnsi="Arial" w:eastAsia="Times New Roman" w:cs="Arial"/>
                <w:b/>
                <w:bCs/>
                <w:color w:val="000000"/>
                <w:sz w:val="18"/>
                <w:szCs w:val="20"/>
              </w:rPr>
              <w:t>PPV</w:t>
            </w:r>
          </w:p>
        </w:tc>
        <w:tc>
          <w:tcPr>
            <w:tcW w:w="753" w:type="dxa"/>
            <w:tcBorders>
              <w:bottom w:val="single" w:color="auto" w:sz="4" w:space="0"/>
            </w:tcBorders>
            <w:shd w:val="clear" w:color="auto" w:fill="auto"/>
            <w:noWrap/>
            <w:vAlign w:val="center"/>
          </w:tcPr>
          <w:p>
            <w:pPr>
              <w:jc w:val="center"/>
              <w:rPr>
                <w:rFonts w:ascii="Arial" w:hAnsi="Arial" w:eastAsia="Times New Roman" w:cs="Arial"/>
                <w:b/>
                <w:bCs/>
                <w:color w:val="000000"/>
                <w:sz w:val="18"/>
                <w:szCs w:val="20"/>
              </w:rPr>
            </w:pPr>
            <w:r>
              <w:rPr>
                <w:rFonts w:ascii="Arial" w:hAnsi="Arial" w:eastAsia="Times New Roman" w:cs="Arial"/>
                <w:b/>
                <w:bCs/>
                <w:color w:val="000000"/>
                <w:sz w:val="18"/>
                <w:szCs w:val="20"/>
              </w:rPr>
              <w:t>NPV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66" w:type="dxa"/>
            <w:vMerge w:val="restart"/>
            <w:shd w:val="clear" w:color="auto" w:fill="auto"/>
            <w:noWrap/>
            <w:textDirection w:val="btLr"/>
            <w:vAlign w:val="center"/>
          </w:tcPr>
          <w:p>
            <w:pPr>
              <w:ind w:left="113" w:right="113"/>
              <w:jc w:val="center"/>
              <w:rPr>
                <w:rFonts w:ascii="Arial" w:hAnsi="Arial" w:eastAsia="Times New Roman" w:cs="Arial"/>
                <w:color w:val="000000"/>
                <w:sz w:val="18"/>
                <w:szCs w:val="20"/>
              </w:rPr>
            </w:pPr>
            <w:r>
              <w:rPr>
                <w:rFonts w:ascii="Arial" w:hAnsi="Arial" w:eastAsia="Times New Roman" w:cs="Arial"/>
                <w:color w:val="000000"/>
                <w:sz w:val="18"/>
                <w:szCs w:val="20"/>
              </w:rPr>
              <w:t>Altitude, coverage, Xbar and Ybar</w:t>
            </w:r>
          </w:p>
        </w:tc>
        <w:tc>
          <w:tcPr>
            <w:tcW w:w="1417" w:type="dxa"/>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w:t>
            </w:r>
          </w:p>
        </w:tc>
        <w:tc>
          <w:tcPr>
            <w:tcW w:w="1134" w:type="dxa"/>
            <w:tcBorders>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0.72</w:t>
            </w:r>
          </w:p>
        </w:tc>
        <w:tc>
          <w:tcPr>
            <w:tcW w:w="1134" w:type="dxa"/>
            <w:tcBorders>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0.72</w:t>
            </w:r>
          </w:p>
        </w:tc>
        <w:tc>
          <w:tcPr>
            <w:tcW w:w="1134" w:type="dxa"/>
            <w:tcBorders>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81.5%</w:t>
            </w:r>
          </w:p>
        </w:tc>
        <w:tc>
          <w:tcPr>
            <w:tcW w:w="1134" w:type="dxa"/>
            <w:tcBorders>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44.6%</w:t>
            </w:r>
          </w:p>
        </w:tc>
        <w:tc>
          <w:tcPr>
            <w:tcW w:w="851" w:type="dxa"/>
            <w:tcBorders>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0.52</w:t>
            </w:r>
          </w:p>
        </w:tc>
        <w:tc>
          <w:tcPr>
            <w:tcW w:w="753" w:type="dxa"/>
            <w:tcBorders>
              <w:left w:val="nil"/>
              <w:bottom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0.77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66" w:type="dxa"/>
            <w:vMerge w:val="continue"/>
            <w:vAlign w:val="center"/>
          </w:tcPr>
          <w:p>
            <w:pPr>
              <w:jc w:val="center"/>
              <w:rPr>
                <w:rFonts w:ascii="Arial" w:hAnsi="Arial" w:eastAsia="Times New Roman" w:cs="Arial"/>
                <w:color w:val="000000"/>
                <w:sz w:val="18"/>
                <w:szCs w:val="20"/>
              </w:rPr>
            </w:pPr>
          </w:p>
        </w:tc>
        <w:tc>
          <w:tcPr>
            <w:tcW w:w="1417" w:type="dxa"/>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1</w:t>
            </w:r>
          </w:p>
        </w:tc>
        <w:tc>
          <w:tcPr>
            <w:tcW w:w="1134" w:type="dxa"/>
            <w:tcBorders>
              <w:top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0.79</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0.77</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50.9%</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87.3%</w:t>
            </w:r>
          </w:p>
        </w:tc>
        <w:tc>
          <w:tcPr>
            <w:tcW w:w="85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0.53</w:t>
            </w:r>
          </w:p>
        </w:tc>
        <w:tc>
          <w:tcPr>
            <w:tcW w:w="753" w:type="dxa"/>
            <w:tcBorders>
              <w:top w:val="nil"/>
              <w:left w:val="nil"/>
              <w:bottom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0.87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66" w:type="dxa"/>
            <w:vMerge w:val="continue"/>
            <w:vAlign w:val="center"/>
          </w:tcPr>
          <w:p>
            <w:pPr>
              <w:jc w:val="center"/>
              <w:rPr>
                <w:rFonts w:ascii="Arial" w:hAnsi="Arial" w:eastAsia="Times New Roman" w:cs="Arial"/>
                <w:color w:val="000000"/>
                <w:sz w:val="18"/>
                <w:szCs w:val="20"/>
              </w:rPr>
            </w:pPr>
          </w:p>
        </w:tc>
        <w:tc>
          <w:tcPr>
            <w:tcW w:w="1417" w:type="dxa"/>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2</w:t>
            </w:r>
          </w:p>
        </w:tc>
        <w:tc>
          <w:tcPr>
            <w:tcW w:w="1134" w:type="dxa"/>
            <w:tcBorders>
              <w:top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0.86</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0.84</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55.5%</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90.1%</w:t>
            </w:r>
          </w:p>
        </w:tc>
        <w:tc>
          <w:tcPr>
            <w:tcW w:w="85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0.53</w:t>
            </w:r>
          </w:p>
        </w:tc>
        <w:tc>
          <w:tcPr>
            <w:tcW w:w="753" w:type="dxa"/>
            <w:tcBorders>
              <w:top w:val="nil"/>
              <w:left w:val="nil"/>
              <w:bottom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trPr>
        <w:tc>
          <w:tcPr>
            <w:tcW w:w="866" w:type="dxa"/>
            <w:vMerge w:val="continue"/>
            <w:vAlign w:val="center"/>
          </w:tcPr>
          <w:p>
            <w:pPr>
              <w:jc w:val="center"/>
              <w:rPr>
                <w:rFonts w:ascii="Arial" w:hAnsi="Arial" w:eastAsia="Times New Roman" w:cs="Arial"/>
                <w:color w:val="000000"/>
                <w:sz w:val="18"/>
                <w:szCs w:val="20"/>
              </w:rPr>
            </w:pPr>
          </w:p>
        </w:tc>
        <w:tc>
          <w:tcPr>
            <w:tcW w:w="1417" w:type="dxa"/>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3</w:t>
            </w:r>
          </w:p>
        </w:tc>
        <w:tc>
          <w:tcPr>
            <w:tcW w:w="1134" w:type="dxa"/>
            <w:tcBorders>
              <w:top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0.88</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0.85</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54.6%</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91.1%</w:t>
            </w:r>
          </w:p>
        </w:tc>
        <w:tc>
          <w:tcPr>
            <w:tcW w:w="85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0.51</w:t>
            </w:r>
          </w:p>
        </w:tc>
        <w:tc>
          <w:tcPr>
            <w:tcW w:w="753" w:type="dxa"/>
            <w:tcBorders>
              <w:top w:val="nil"/>
              <w:left w:val="nil"/>
              <w:bottom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66" w:type="dxa"/>
            <w:vMerge w:val="continue"/>
            <w:vAlign w:val="center"/>
          </w:tcPr>
          <w:p>
            <w:pPr>
              <w:jc w:val="center"/>
              <w:rPr>
                <w:rFonts w:ascii="Arial" w:hAnsi="Arial" w:eastAsia="Times New Roman" w:cs="Arial"/>
                <w:color w:val="000000"/>
                <w:sz w:val="18"/>
                <w:szCs w:val="20"/>
              </w:rPr>
            </w:pPr>
          </w:p>
        </w:tc>
        <w:tc>
          <w:tcPr>
            <w:tcW w:w="1417" w:type="dxa"/>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4</w:t>
            </w:r>
          </w:p>
        </w:tc>
        <w:tc>
          <w:tcPr>
            <w:tcW w:w="1134" w:type="dxa"/>
            <w:tcBorders>
              <w:top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0.60</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0.60</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86.8%</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25.8%</w:t>
            </w:r>
          </w:p>
        </w:tc>
        <w:tc>
          <w:tcPr>
            <w:tcW w:w="85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0.46</w:t>
            </w:r>
          </w:p>
        </w:tc>
        <w:tc>
          <w:tcPr>
            <w:tcW w:w="753" w:type="dxa"/>
            <w:tcBorders>
              <w:top w:val="nil"/>
              <w:left w:val="nil"/>
              <w:bottom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0.73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866" w:type="dxa"/>
            <w:vMerge w:val="continue"/>
            <w:vAlign w:val="center"/>
          </w:tcPr>
          <w:p>
            <w:pPr>
              <w:jc w:val="center"/>
              <w:rPr>
                <w:rFonts w:ascii="Arial" w:hAnsi="Arial" w:eastAsia="Times New Roman" w:cs="Arial"/>
                <w:color w:val="000000"/>
                <w:sz w:val="18"/>
                <w:szCs w:val="20"/>
              </w:rPr>
            </w:pPr>
          </w:p>
        </w:tc>
        <w:tc>
          <w:tcPr>
            <w:tcW w:w="1417" w:type="dxa"/>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5</w:t>
            </w:r>
          </w:p>
        </w:tc>
        <w:tc>
          <w:tcPr>
            <w:tcW w:w="1134" w:type="dxa"/>
            <w:tcBorders>
              <w:top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0.90</w:t>
            </w:r>
          </w:p>
        </w:tc>
        <w:tc>
          <w:tcPr>
            <w:tcW w:w="1134" w:type="dxa"/>
            <w:tcBorders>
              <w:top w:val="nil"/>
              <w:left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0.86</w:t>
            </w:r>
          </w:p>
        </w:tc>
        <w:tc>
          <w:tcPr>
            <w:tcW w:w="1134" w:type="dxa"/>
            <w:tcBorders>
              <w:top w:val="nil"/>
              <w:left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52.2%</w:t>
            </w:r>
          </w:p>
        </w:tc>
        <w:tc>
          <w:tcPr>
            <w:tcW w:w="1134" w:type="dxa"/>
            <w:tcBorders>
              <w:top w:val="nil"/>
              <w:left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92.7%</w:t>
            </w:r>
          </w:p>
        </w:tc>
        <w:tc>
          <w:tcPr>
            <w:tcW w:w="851" w:type="dxa"/>
            <w:tcBorders>
              <w:top w:val="nil"/>
              <w:left w:val="nil"/>
              <w:righ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0.45</w:t>
            </w:r>
          </w:p>
        </w:tc>
        <w:tc>
          <w:tcPr>
            <w:tcW w:w="753" w:type="dxa"/>
            <w:tcBorders>
              <w:top w:val="nil"/>
              <w:left w:val="nil"/>
            </w:tcBorders>
            <w:shd w:val="clear" w:color="auto" w:fill="auto"/>
            <w:noWrap/>
            <w:vAlign w:val="center"/>
          </w:tcPr>
          <w:p>
            <w:pPr>
              <w:jc w:val="center"/>
              <w:rPr>
                <w:rFonts w:ascii="Arial" w:hAnsi="Arial" w:eastAsia="Times New Roman" w:cs="Arial"/>
                <w:color w:val="000000"/>
                <w:sz w:val="18"/>
                <w:szCs w:val="20"/>
              </w:rPr>
            </w:pPr>
            <w:r>
              <w:rPr>
                <w:rFonts w:ascii="Arial" w:hAnsi="Arial" w:eastAsia="Times New Roman" w:cs="Arial"/>
                <w:color w:val="000000"/>
                <w:sz w:val="18"/>
                <w:szCs w:val="20"/>
              </w:rPr>
              <w:t>0.95</w:t>
            </w:r>
          </w:p>
        </w:tc>
      </w:tr>
    </w:tbl>
    <w:p>
      <w:r>
        <w:br w:type="page"/>
      </w:r>
    </w:p>
    <w:p>
      <w:pPr>
        <w:pStyle w:val="3"/>
        <w:keepNext/>
        <w:rPr>
          <w:rFonts w:ascii="Arial" w:hAnsi="Arial"/>
          <w:color w:val="auto"/>
        </w:rPr>
        <w:sectPr>
          <w:pgSz w:w="11900" w:h="16840"/>
          <w:pgMar w:top="1440" w:right="1800" w:bottom="1440" w:left="1800" w:header="708" w:footer="708" w:gutter="0"/>
          <w:cols w:space="708" w:num="1"/>
          <w:docGrid w:linePitch="360" w:charSpace="0"/>
        </w:sectPr>
      </w:pPr>
    </w:p>
    <w:p>
      <w:pPr>
        <w:pStyle w:val="3"/>
        <w:keepNext/>
        <w:rPr>
          <w:rFonts w:ascii="Arial" w:hAnsi="Arial"/>
          <w:color w:val="auto"/>
          <w:vertAlign w:val="subscript"/>
        </w:rPr>
        <w:sectPr>
          <w:pgSz w:w="11900" w:h="16840"/>
          <w:pgMar w:top="1440" w:right="1800" w:bottom="1440" w:left="1800" w:header="708" w:footer="708" w:gutter="0"/>
          <w:cols w:space="1046" w:num="1"/>
          <w:docGrid w:linePitch="360" w:charSpace="0"/>
        </w:sectPr>
      </w:pPr>
      <w:r>
        <w:rPr>
          <w:rFonts w:ascii="Arial" w:hAnsi="Arial"/>
          <w:color w:val="auto"/>
          <w:sz w:val="16"/>
          <w:lang w:val="en-US"/>
        </w:rPr>
        <mc:AlternateContent>
          <mc:Choice Requires="wps">
            <w:drawing>
              <wp:anchor distT="0" distB="0" distL="114300" distR="114300" simplePos="0" relativeHeight="251659264" behindDoc="0" locked="0" layoutInCell="1" allowOverlap="1">
                <wp:simplePos x="0" y="0"/>
                <wp:positionH relativeFrom="column">
                  <wp:posOffset>2171700</wp:posOffset>
                </wp:positionH>
                <wp:positionV relativeFrom="paragraph">
                  <wp:posOffset>114300</wp:posOffset>
                </wp:positionV>
                <wp:extent cx="342900" cy="228600"/>
                <wp:effectExtent l="0" t="0" r="0" b="0"/>
                <wp:wrapNone/>
                <wp:docPr id="1" name="Text Box 1"/>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rFonts w:ascii="Arial" w:hAnsi="Arial"/>
                                <w:sz w:val="16"/>
                                <w:szCs w:val="16"/>
                              </w:rPr>
                            </w:pPr>
                            <w:r>
                              <w:rPr>
                                <w:rFonts w:ascii="Arial" w:hAnsi="Arial"/>
                                <w:sz w:val="16"/>
                                <w:szCs w:val="16"/>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pt;margin-top:9pt;height:18pt;width:27pt;z-index:251659264;mso-width-relative:page;mso-height-relative:page;" filled="f" stroked="f" coordsize="21600,21600" o:gfxdata="UEsFBgAAAAAAAAAAAAAAAAAAAAAAAFBLAwQKAAAAAACHTuJAAAAAAAAAAAAAAAAABAAAAGRycy9Q&#10;SwMEFAAAAAgAh07iQDO1uL3WAAAACQEAAA8AAABkcnMvZG93bnJldi54bWxNj0FPwzAMhe9I/IfI&#10;SNxYsq2bttJ0BxBXEBsgcfMar61onKrJ1vLvMSc42dZ7ev5esZt8py40xDawhfnMgCKugmu5tvB2&#10;eLrbgIoJ2WEXmCx8U4RdeX1VYO7CyK902adaSQjHHC00KfW51rFqyGOchZ5YtFMYPCY5h1q7AUcJ&#10;951eGLPWHluWDw329NBQ9bU/ewvvz6fPj8y81I9+1Y9hMpr9Vlt7ezM396ASTenPDL/4gg6lMB3D&#10;mV1UnYVltpAuSYSNTDEst2tZjhZWmQFdFvp/g/IHUEsDBBQAAAAIAIdO4kD8KmJDCgIAABsEAAAO&#10;AAAAZHJzL2Uyb0RvYy54bWytU8tu2zAQvBfoPxC817JVN00Ey4GbwEWBoAngBD3TFGkJEB8laUvu&#10;13dIyY77OBW9UPvScHd2uLjtVUsOwvnG6JLOJlNKhOamavSupC/P63fXlPjAdMVao0VJj8LT2+Xb&#10;N4vOFiI3tWkr4QhAtC86W9I6BFtkmee1UMxPjBUaSWmcYgGu22WVYx3QVZvl0+lV1hlXWWe48B7R&#10;+yFJlwlfSsHDo5ReBNKWFL2FdLp0buOZLRes2Dlm64aPbbB/6EKxRuPSM9Q9C4zsXfMHlGq4M97I&#10;MOFGZUbKhos0A6aZTX+bZlMzK9IsIMfbM03+/8Hyr4cnR5oKu6NEM4UVPYs+kE+mJ7PITmd9gaKN&#10;RVnoEY6VY9wjGIfupVPxi3EI8uD5eOY2gnEE38/zmykyHKk8v76CDZTs9WfrfPgsjCLRKKnD6hKj&#10;7PDgw1B6Kol3abNu2hZxVrT6lwAwh4hI+x//jnMM/UYr9Nt+HGJrqiNmc2bQhrd83aCDB+bDE3MQ&#10;A5qGwMMjDtmarqRmtCipjfvxt3isx46QpaSDuErqv++ZE5S0XzS2dzObz6MakzP/8DGH4y4z28uM&#10;3qs7A/1iQ+gumbE+tCdTOqO+4R2s4q1IMc1xd0nDybwLg+TxjrhYrVIR9GdZeNAbyyP0QOFqH4xs&#10;Et2RpoEbrCk6UGBa2PhaosQv/VT1+qaXPwF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WAAAAZHJzL1BLAQIUABQAAAAIAIdO4kAztbi91gAA&#10;AAkBAAAPAAAAAAAAAAEAIAAAADgAAABkcnMvZG93bnJldi54bWxQSwECFAAUAAAACACHTuJA/Cpi&#10;QwoCAAAbBAAADgAAAAAAAAABACAAAAA7AQAAZHJzL2Uyb0RvYy54bWxQSwUGAAAAAAYABgBZAQAA&#10;twUAAAAA&#10;">
                <v:fill on="f" focussize="0,0"/>
                <v:stroke on="f"/>
                <v:imagedata o:title=""/>
                <o:lock v:ext="edit" aspectratio="f"/>
                <v:textbox>
                  <w:txbxContent>
                    <w:p>
                      <w:pPr>
                        <w:rPr>
                          <w:rFonts w:ascii="Arial" w:hAnsi="Arial"/>
                          <w:sz w:val="16"/>
                          <w:szCs w:val="16"/>
                        </w:rPr>
                      </w:pPr>
                      <w:r>
                        <w:rPr>
                          <w:rFonts w:ascii="Arial" w:hAnsi="Arial"/>
                          <w:sz w:val="16"/>
                          <w:szCs w:val="16"/>
                        </w:rPr>
                        <w:t>a)</w:t>
                      </w:r>
                    </w:p>
                  </w:txbxContent>
                </v:textbox>
              </v:shape>
            </w:pict>
          </mc:Fallback>
        </mc:AlternateContent>
      </w:r>
      <w:r>
        <w:rPr>
          <w:rFonts w:ascii="Arial" w:hAnsi="Arial"/>
          <w:color w:val="auto"/>
          <w:lang w:val="en-US"/>
        </w:rPr>
        <mc:AlternateContent>
          <mc:Choice Requires="wps">
            <w:drawing>
              <wp:anchor distT="0" distB="0" distL="114300" distR="114300" simplePos="0" relativeHeight="251663360" behindDoc="0" locked="0" layoutInCell="1" allowOverlap="1">
                <wp:simplePos x="0" y="0"/>
                <wp:positionH relativeFrom="column">
                  <wp:posOffset>2171700</wp:posOffset>
                </wp:positionH>
                <wp:positionV relativeFrom="paragraph">
                  <wp:posOffset>5143500</wp:posOffset>
                </wp:positionV>
                <wp:extent cx="342900" cy="228600"/>
                <wp:effectExtent l="0" t="0" r="0" b="0"/>
                <wp:wrapNone/>
                <wp:docPr id="5" name="Text Box 5"/>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rFonts w:ascii="Arial" w:hAnsi="Arial"/>
                                <w:sz w:val="16"/>
                                <w:szCs w:val="16"/>
                              </w:rPr>
                            </w:pPr>
                            <w:r>
                              <w:rPr>
                                <w:rFonts w:ascii="Arial" w:hAnsi="Arial"/>
                                <w:sz w:val="16"/>
                                <w:szCs w:val="16"/>
                              </w:rPr>
                              <w:t>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pt;margin-top:405pt;height:18pt;width:27pt;z-index:251663360;mso-width-relative:page;mso-height-relative:page;" filled="f" stroked="f" coordsize="21600,21600" o:gfxdata="UEsFBgAAAAAAAAAAAAAAAAAAAAAAAFBLAwQKAAAAAACHTuJAAAAAAAAAAAAAAAAABAAAAGRycy9Q&#10;SwMEFAAAAAgAh07iQGMvN8TXAAAACwEAAA8AAABkcnMvZG93bnJldi54bWxNj09PwzAMxe9IfIfI&#10;SNyY061MW2m6A4griPFH4pY1XlvROFWTreXbY05we7afnn+v3M2+V2caYxfYQLbQoIjr4DpuDLy9&#10;Pt5sQMVk2dk+MBn4pgi76vKitIULE7/QeZ8aJSEcC2ugTWkoEGPdkrdxEQZiuR3D6G2ScWzQjXaS&#10;cN/jUus1etuxfGjtQPct1V/7kzfw/nT8/Mj1c/Pgb4cpzBrZb9GY66tM34FKNKc/M/ziCzpUwnQI&#10;J3ZR9QZW+VK6JAObTIsQx2q7FnGQTS4CqxL/d6h+AFBLAwQUAAAACACHTuJAUJ0TOQoCAAAbBAAA&#10;DgAAAGRycy9lMm9Eb2MueG1srVNNj9owEL1X6n+wfC8JKWx3EWFFd0VVCXVXYquejWMTS7bHtQ0J&#10;/fUdO8DSj1PVizNfeZ558zy/740mB+GDAlvT8aikRFgOjbK7mn59Wb27pSREZhumwYqaHkWg94u3&#10;b+adm4kKWtCN8ARBbJh1rqZtjG5WFIG3wrAwAicsJiV4wyK6flc0nnWIbnRRleVN0YFvnAcuQsDo&#10;45Cki4wvpeDxScogItE1xd5iPn0+t+ksFnM223nmWsVPbbB/6MIwZfHSC9Qji4zsvfoDyijuIYCM&#10;Iw6mACkVF3kGnGZc/jbNpmVO5FmQnOAuNIX/B8u/HJ49UU1Np5RYZnBFL6KP5CP0ZJrY6VyYYdHG&#10;YVnsMYxbPscDBtPQvfQmfXEcgnnk+XjhNoFxDL6fVHclZjimqur2Bm1EL15/dj7ETwIMSUZNPa4u&#10;M8oO6xCH0nNJusvCSmmd16ftLwHEHCIi7//0d5pj6DdZsd/2p+G20BxxNg+DNoLjK4UdrFmIz8yj&#10;GLBpFHh8wkNq6GoKJ4uSFvyPv8VTPe4Is5R0KK6ahu975gUl+rPF7d2NJ5OkxuxMph8qdPx1Znud&#10;sXvzAKjfMT4lx7OZ6qM+m9KD+YbvYJluxRSzHO+uaTybD3GQPL4jLpbLXIT6cyyu7cbxBD1QuNxH&#10;kCrTnWgauME1JQcVmBd2ei1J4td+rnp904u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Yy83xNcA&#10;AAALAQAADwAAAAAAAAABACAAAAA4AAAAZHJzL2Rvd25yZXYueG1sUEsBAhQAFAAAAAgAh07iQFCd&#10;EzkKAgAAGwQAAA4AAAAAAAAAAQAgAAAAPAEAAGRycy9lMm9Eb2MueG1sUEsFBgAAAAAGAAYAWQEA&#10;ALgFAAAAAA==&#10;">
                <v:fill on="f" focussize="0,0"/>
                <v:stroke on="f"/>
                <v:imagedata o:title=""/>
                <o:lock v:ext="edit" aspectratio="f"/>
                <v:textbox>
                  <w:txbxContent>
                    <w:p>
                      <w:pPr>
                        <w:rPr>
                          <w:rFonts w:ascii="Arial" w:hAnsi="Arial"/>
                          <w:sz w:val="16"/>
                          <w:szCs w:val="16"/>
                        </w:rPr>
                      </w:pPr>
                      <w:r>
                        <w:rPr>
                          <w:rFonts w:ascii="Arial" w:hAnsi="Arial"/>
                          <w:sz w:val="16"/>
                          <w:szCs w:val="16"/>
                        </w:rPr>
                        <w:t>c)</w:t>
                      </w:r>
                    </w:p>
                  </w:txbxContent>
                </v:textbox>
              </v:shape>
            </w:pict>
          </mc:Fallback>
        </mc:AlternateContent>
      </w:r>
      <w:r>
        <w:rPr>
          <w:rFonts w:ascii="Arial" w:hAnsi="Arial"/>
          <w:color w:val="auto"/>
          <w:lang w:val="en-US"/>
        </w:rPr>
        <mc:AlternateContent>
          <mc:Choice Requires="wps">
            <w:drawing>
              <wp:anchor distT="0" distB="0" distL="114300" distR="114300" simplePos="0" relativeHeight="251661312" behindDoc="0" locked="0" layoutInCell="1" allowOverlap="1">
                <wp:simplePos x="0" y="0"/>
                <wp:positionH relativeFrom="column">
                  <wp:posOffset>2171700</wp:posOffset>
                </wp:positionH>
                <wp:positionV relativeFrom="paragraph">
                  <wp:posOffset>2628900</wp:posOffset>
                </wp:positionV>
                <wp:extent cx="342900" cy="228600"/>
                <wp:effectExtent l="0" t="0" r="0" b="0"/>
                <wp:wrapNone/>
                <wp:docPr id="4" name="Text Box 4"/>
                <wp:cNvGraphicFramePr/>
                <a:graphic xmlns:a="http://schemas.openxmlformats.org/drawingml/2006/main">
                  <a:graphicData uri="http://schemas.microsoft.com/office/word/2010/wordprocessingShape">
                    <wps:wsp>
                      <wps:cNvSpPr txBox="1"/>
                      <wps:spPr>
                        <a:xfrm>
                          <a:off x="0" y="0"/>
                          <a:ext cx="3429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rPr>
                                <w:rFonts w:ascii="Arial" w:hAnsi="Arial"/>
                                <w:sz w:val="16"/>
                                <w:szCs w:val="16"/>
                              </w:rPr>
                            </w:pPr>
                            <w:r>
                              <w:rPr>
                                <w:rFonts w:ascii="Arial" w:hAnsi="Arial"/>
                                <w:sz w:val="16"/>
                                <w:szCs w:val="16"/>
                              </w:rPr>
                              <w:t>b)</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pt;margin-top:207pt;height:18pt;width:27pt;z-index:251661312;mso-width-relative:page;mso-height-relative:page;" filled="f" stroked="f" coordsize="21600,21600" o:gfxdata="UEsFBgAAAAAAAAAAAAAAAAAAAAAAAFBLAwQKAAAAAACHTuJAAAAAAAAAAAAAAAAABAAAAGRycy9Q&#10;SwMEFAAAAAgAh07iQEO7bsvXAAAACwEAAA8AAABkcnMvZG93bnJldi54bWxNj09PwzAMxe9IfIfI&#10;SNxY0q2bWKm7A4griPFH4pY1XlvROFWTreXbY05we7afnn+v3M2+V2caYxcYIVsYUMR1cB03CG+v&#10;jze3oGKy7GwfmBC+KcKuurwobeHCxC903qdGSQjHwiK0KQ2F1rFuydu4CAOx3I5h9DbJODbajXaS&#10;cN/rpTEb7W3H8qG1A923VH/tTx7h/en4+ZGb5+bBr4cpzEaz32rE66vM3IFKNKc/M/ziCzpUwnQI&#10;J3ZR9QirfCldEkKe5SLEsdpuRBxkszYGdFXq/x2qH1BLAwQUAAAACACHTuJAu/CPJwoCAAAbBAAA&#10;DgAAAGRycy9lMm9Eb2MueG1srVNNbxoxEL1X6n+wfA8Lm22aIJaIJqKqhJpIJOrZeG3Wku1xbcMu&#10;/fUde4HQj1PVi3e+9nnmzfPsvjea7IUPCmxNJ6MxJcJyaJTd1vT1ZXl1S0mIzDZMgxU1PYhA7+fv&#10;3806NxUltKAb4QmC2DDtXE3bGN20KAJvhWFhBE5YTErwhkV0/bZoPOsQ3eiiHI9vig584zxwEQJG&#10;H4cknWd8KQWPT1IGEYmuKfYW8+nzuUlnMZ+x6dYz1yp+bIP9QxeGKYuXnqEeWWRk59UfUEZxDwFk&#10;HHEwBUipuMgz4DST8W/TrFvmRJ4FyQnuTFP4f7D86/7ZE9XUtKLEMoMrehF9JJ+gJ1Vip3NhikVr&#10;h2WxxzBu+RQPGExD99Kb9MVxCOaR58OZ2wTGMXhdlXdjzHBMleXtDdqIXrz97HyInwUYkoyaelxd&#10;ZpTtVyEOpaeSdJeFpdI6r0/bXwKIOURE3v/x7zTH0G+yYr/pj8NtoDngbB4GbQTHlwo7WLEQn5lH&#10;MWDTKPD4hIfU0NUUjhYlLfgff4unetwRZinpUFw1Dd93zAtK9BeL27ubVFVSY3aqDx9LdPxlZnOZ&#10;sTvzAKjfCT4lx7OZ6qM+mdKD+YbvYJFuxRSzHO+uaTyZD3GQPL4jLhaLXIT6cyyu7NrxBD1QuNhF&#10;kCrTnWgauME1JQcVmBd2fC1J4pd+rnp70/O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FgAAAGRycy9QSwECFAAUAAAACACHTuJAQ7tuy9cA&#10;AAALAQAADwAAAAAAAAABACAAAAA4AAAAZHJzL2Rvd25yZXYueG1sUEsBAhQAFAAAAAgAh07iQLvw&#10;jycKAgAAGwQAAA4AAAAAAAAAAQAgAAAAPAEAAGRycy9lMm9Eb2MueG1sUEsFBgAAAAAGAAYAWQEA&#10;ALgFAAAAAA==&#10;">
                <v:fill on="f" focussize="0,0"/>
                <v:stroke on="f"/>
                <v:imagedata o:title=""/>
                <o:lock v:ext="edit" aspectratio="f"/>
                <v:textbox>
                  <w:txbxContent>
                    <w:p>
                      <w:pPr>
                        <w:rPr>
                          <w:rFonts w:ascii="Arial" w:hAnsi="Arial"/>
                          <w:sz w:val="16"/>
                          <w:szCs w:val="16"/>
                        </w:rPr>
                      </w:pPr>
                      <w:r>
                        <w:rPr>
                          <w:rFonts w:ascii="Arial" w:hAnsi="Arial"/>
                          <w:sz w:val="16"/>
                          <w:szCs w:val="16"/>
                        </w:rPr>
                        <w:t>b)</w:t>
                      </w:r>
                    </w:p>
                  </w:txbxContent>
                </v:textbox>
              </v:shape>
            </w:pict>
          </mc:Fallback>
        </mc:AlternateContent>
      </w:r>
      <w:r>
        <w:rPr>
          <w:rFonts w:ascii="Arial" w:hAnsi="Arial"/>
          <w:color w:val="auto"/>
          <w:lang w:val="en-US"/>
        </w:rPr>
        <w:drawing>
          <wp:inline distT="0" distB="0" distL="0" distR="0">
            <wp:extent cx="2567305" cy="76581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2568282" cy="7659307"/>
                    </a:xfrm>
                    <a:prstGeom prst="rect">
                      <a:avLst/>
                    </a:prstGeom>
                  </pic:spPr>
                </pic:pic>
              </a:graphicData>
            </a:graphic>
          </wp:inline>
        </w:drawing>
      </w:r>
    </w:p>
    <w:p>
      <w:pPr>
        <w:pStyle w:val="3"/>
        <w:rPr>
          <w:rFonts w:ascii="Arial" w:hAnsi="Arial" w:cs="Arial"/>
          <w:color w:val="auto"/>
        </w:rPr>
        <w:sectPr>
          <w:type w:val="continuous"/>
          <w:pgSz w:w="11900" w:h="16840"/>
          <w:pgMar w:top="1440" w:right="1800" w:bottom="1440" w:left="1800" w:header="708" w:footer="708" w:gutter="0"/>
          <w:cols w:space="1046" w:num="1"/>
          <w:docGrid w:linePitch="360" w:charSpace="0"/>
        </w:sectPr>
      </w:pPr>
      <w:r>
        <w:rPr>
          <w:rFonts w:ascii="Arial" w:hAnsi="Arial" w:cs="Arial"/>
          <w:color w:val="auto"/>
        </w:rPr>
        <w:t>Figure S3.1: Box plots showing the validation AUC results from 10-fold cross validation models run with all inputs, using six different dive classifications in a) European shags, b) common guillemots and c) razorbills.</w:t>
      </w:r>
    </w:p>
    <w:p>
      <w:pPr>
        <w:spacing w:line="360" w:lineRule="auto"/>
        <w:rPr>
          <w:rFonts w:ascii="Arial" w:hAnsi="Arial"/>
          <w:bCs/>
          <w:sz w:val="20"/>
          <w:szCs w:val="18"/>
          <w:u w:val="single"/>
        </w:rPr>
        <w:sectPr>
          <w:type w:val="continuous"/>
          <w:pgSz w:w="11900" w:h="16840"/>
          <w:pgMar w:top="1440" w:right="1800" w:bottom="1440" w:left="1800" w:header="708" w:footer="708" w:gutter="0"/>
          <w:cols w:space="708" w:num="1"/>
          <w:docGrid w:linePitch="360" w:charSpace="0"/>
        </w:sectPr>
      </w:pPr>
    </w:p>
    <w:p>
      <w:pPr>
        <w:spacing w:line="360" w:lineRule="auto"/>
        <w:rPr>
          <w:rFonts w:ascii="Arial" w:hAnsi="Arial"/>
          <w:bCs/>
          <w:sz w:val="20"/>
          <w:szCs w:val="18"/>
          <w:u w:val="single"/>
        </w:rPr>
      </w:pPr>
      <w:r>
        <w:rPr>
          <w:rFonts w:ascii="Arial" w:hAnsi="Arial"/>
          <w:bCs/>
          <w:sz w:val="20"/>
          <w:szCs w:val="18"/>
          <w:u w:val="single"/>
        </w:rPr>
        <w:br w:type="page"/>
      </w:r>
    </w:p>
    <w:p>
      <w:pPr>
        <w:spacing w:line="360" w:lineRule="auto"/>
        <w:rPr>
          <w:rFonts w:ascii="Arial" w:hAnsi="Arial"/>
          <w:bCs/>
          <w:sz w:val="20"/>
          <w:szCs w:val="18"/>
          <w:u w:val="single"/>
        </w:rPr>
      </w:pPr>
      <w:r>
        <w:rPr>
          <w:rFonts w:ascii="Arial" w:hAnsi="Arial"/>
          <w:bCs/>
          <w:sz w:val="20"/>
          <w:szCs w:val="18"/>
          <w:u w:val="single"/>
        </w:rPr>
        <w:t>Appendix S4: Impact of window size on model performance</w:t>
      </w:r>
    </w:p>
    <w:p>
      <w:pPr>
        <w:pStyle w:val="3"/>
        <w:keepNext/>
        <w:rPr>
          <w:rFonts w:ascii="Arial" w:hAnsi="Arial"/>
          <w:b w:val="0"/>
          <w:color w:val="auto"/>
          <w:sz w:val="20"/>
          <w:u w:val="single"/>
        </w:rPr>
      </w:pPr>
    </w:p>
    <w:p>
      <w:pPr>
        <w:pStyle w:val="3"/>
        <w:keepNext/>
        <w:rPr>
          <w:rFonts w:ascii="Arial" w:hAnsi="Arial" w:cs="Arial"/>
          <w:color w:val="auto"/>
        </w:rPr>
      </w:pPr>
      <w:r>
        <w:rPr>
          <w:rFonts w:ascii="Arial" w:hAnsi="Arial" w:cs="Arial"/>
          <w:color w:val="auto"/>
        </w:rPr>
        <w:t xml:space="preserve">Table S4.1: Results of models run using different window sizes and all four variables (altitude, coverage, </w:t>
      </w:r>
      <w:r>
        <w:rPr>
          <w:rFonts w:ascii="Arial" w:hAnsi="Arial" w:cs="Arial"/>
          <w:i/>
          <w:color w:val="auto"/>
        </w:rPr>
        <w:t xml:space="preserve">Xbar </w:t>
      </w:r>
      <w:r>
        <w:rPr>
          <w:rFonts w:ascii="Arial" w:hAnsi="Arial" w:cs="Arial"/>
          <w:color w:val="auto"/>
        </w:rPr>
        <w:t xml:space="preserve">and </w:t>
      </w:r>
      <w:r>
        <w:rPr>
          <w:rFonts w:ascii="Arial" w:hAnsi="Arial" w:cs="Arial"/>
          <w:i/>
          <w:color w:val="auto"/>
        </w:rPr>
        <w:t>Ybar</w:t>
      </w:r>
      <w:r>
        <w:rPr>
          <w:rFonts w:ascii="Arial" w:hAnsi="Arial" w:cs="Arial"/>
          <w:color w:val="auto"/>
        </w:rPr>
        <w:t>).</w:t>
      </w:r>
    </w:p>
    <w:tbl>
      <w:tblPr>
        <w:tblStyle w:val="11"/>
        <w:tblW w:w="875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7"/>
        <w:gridCol w:w="996"/>
        <w:gridCol w:w="1128"/>
        <w:gridCol w:w="1276"/>
        <w:gridCol w:w="1276"/>
        <w:gridCol w:w="1275"/>
        <w:gridCol w:w="709"/>
        <w:gridCol w:w="8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47" w:type="dxa"/>
            <w:shd w:val="clear" w:color="auto" w:fill="auto"/>
            <w:noWrap/>
            <w:vAlign w:val="center"/>
          </w:tcPr>
          <w:p>
            <w:pPr>
              <w:jc w:val="center"/>
              <w:rPr>
                <w:rFonts w:ascii="Arial" w:hAnsi="Arial" w:eastAsia="Times New Roman" w:cs="Arial"/>
                <w:b/>
                <w:color w:val="000000"/>
                <w:sz w:val="20"/>
                <w:szCs w:val="20"/>
              </w:rPr>
            </w:pPr>
            <w:r>
              <w:rPr>
                <w:rFonts w:ascii="Arial" w:hAnsi="Arial" w:eastAsia="Times New Roman" w:cs="Arial"/>
                <w:b/>
                <w:color w:val="000000"/>
                <w:sz w:val="20"/>
                <w:szCs w:val="20"/>
              </w:rPr>
              <w:t>Species</w:t>
            </w:r>
          </w:p>
        </w:tc>
        <w:tc>
          <w:tcPr>
            <w:tcW w:w="996" w:type="dxa"/>
            <w:tcBorders>
              <w:bottom w:val="single" w:color="auto" w:sz="4" w:space="0"/>
            </w:tcBorders>
            <w:shd w:val="clear" w:color="auto" w:fill="auto"/>
            <w:noWrap/>
            <w:vAlign w:val="center"/>
          </w:tcPr>
          <w:p>
            <w:pPr>
              <w:jc w:val="center"/>
              <w:rPr>
                <w:rFonts w:ascii="Arial" w:hAnsi="Arial" w:eastAsia="Times New Roman" w:cs="Arial"/>
                <w:b/>
                <w:color w:val="000000"/>
                <w:sz w:val="20"/>
                <w:szCs w:val="20"/>
              </w:rPr>
            </w:pPr>
            <w:r>
              <w:rPr>
                <w:rFonts w:ascii="Arial" w:hAnsi="Arial" w:eastAsia="Times New Roman" w:cs="Arial"/>
                <w:b/>
                <w:color w:val="000000"/>
                <w:sz w:val="20"/>
                <w:szCs w:val="20"/>
              </w:rPr>
              <w:t>Window size (no. points)</w:t>
            </w:r>
          </w:p>
        </w:tc>
        <w:tc>
          <w:tcPr>
            <w:tcW w:w="1128" w:type="dxa"/>
            <w:tcBorders>
              <w:bottom w:val="single" w:color="auto" w:sz="4" w:space="0"/>
            </w:tcBorders>
            <w:shd w:val="clear" w:color="auto" w:fill="auto"/>
            <w:noWrap/>
            <w:vAlign w:val="center"/>
          </w:tcPr>
          <w:p>
            <w:pPr>
              <w:jc w:val="center"/>
              <w:rPr>
                <w:rFonts w:ascii="Arial" w:hAnsi="Arial" w:eastAsia="Times New Roman" w:cs="Arial"/>
                <w:b/>
                <w:color w:val="000000"/>
                <w:sz w:val="20"/>
                <w:szCs w:val="20"/>
              </w:rPr>
            </w:pPr>
            <w:r>
              <w:rPr>
                <w:rFonts w:ascii="Arial" w:hAnsi="Arial" w:eastAsia="Times New Roman" w:cs="Arial"/>
                <w:b/>
                <w:color w:val="000000"/>
                <w:sz w:val="20"/>
                <w:szCs w:val="20"/>
              </w:rPr>
              <w:t>Training AUC</w:t>
            </w:r>
          </w:p>
        </w:tc>
        <w:tc>
          <w:tcPr>
            <w:tcW w:w="1276" w:type="dxa"/>
            <w:tcBorders>
              <w:bottom w:val="single" w:color="auto" w:sz="4" w:space="0"/>
            </w:tcBorders>
            <w:shd w:val="clear" w:color="auto" w:fill="auto"/>
            <w:noWrap/>
            <w:vAlign w:val="center"/>
          </w:tcPr>
          <w:p>
            <w:pPr>
              <w:jc w:val="center"/>
              <w:rPr>
                <w:rFonts w:ascii="Arial" w:hAnsi="Arial" w:eastAsia="Times New Roman" w:cs="Arial"/>
                <w:b/>
                <w:color w:val="000000"/>
                <w:sz w:val="20"/>
                <w:szCs w:val="20"/>
              </w:rPr>
            </w:pPr>
            <w:r>
              <w:rPr>
                <w:rFonts w:ascii="Arial" w:hAnsi="Arial" w:eastAsia="Times New Roman" w:cs="Arial"/>
                <w:b/>
                <w:color w:val="000000"/>
                <w:sz w:val="20"/>
                <w:szCs w:val="20"/>
              </w:rPr>
              <w:t>Validation AUC</w:t>
            </w:r>
          </w:p>
        </w:tc>
        <w:tc>
          <w:tcPr>
            <w:tcW w:w="1276" w:type="dxa"/>
            <w:tcBorders>
              <w:bottom w:val="single" w:color="auto" w:sz="4" w:space="0"/>
            </w:tcBorders>
            <w:shd w:val="clear" w:color="auto" w:fill="auto"/>
            <w:noWrap/>
            <w:vAlign w:val="center"/>
          </w:tcPr>
          <w:p>
            <w:pPr>
              <w:jc w:val="center"/>
              <w:rPr>
                <w:rFonts w:ascii="Arial" w:hAnsi="Arial" w:eastAsia="Times New Roman" w:cs="Arial"/>
                <w:b/>
                <w:color w:val="000000"/>
                <w:sz w:val="20"/>
                <w:szCs w:val="20"/>
              </w:rPr>
            </w:pPr>
            <w:r>
              <w:rPr>
                <w:rFonts w:ascii="Arial" w:hAnsi="Arial" w:eastAsia="Times New Roman" w:cs="Arial"/>
                <w:b/>
                <w:color w:val="000000"/>
                <w:sz w:val="20"/>
                <w:szCs w:val="20"/>
              </w:rPr>
              <w:t>Sensitivity (% correctly predicted dives)</w:t>
            </w:r>
          </w:p>
        </w:tc>
        <w:tc>
          <w:tcPr>
            <w:tcW w:w="1275" w:type="dxa"/>
            <w:tcBorders>
              <w:bottom w:val="single" w:color="auto" w:sz="4" w:space="0"/>
            </w:tcBorders>
            <w:shd w:val="clear" w:color="auto" w:fill="auto"/>
            <w:noWrap/>
            <w:vAlign w:val="center"/>
          </w:tcPr>
          <w:p>
            <w:pPr>
              <w:jc w:val="center"/>
              <w:rPr>
                <w:rFonts w:ascii="Arial" w:hAnsi="Arial" w:eastAsia="Times New Roman" w:cs="Arial"/>
                <w:b/>
                <w:color w:val="000000"/>
                <w:sz w:val="20"/>
                <w:szCs w:val="20"/>
              </w:rPr>
            </w:pPr>
            <w:r>
              <w:rPr>
                <w:rFonts w:ascii="Arial" w:hAnsi="Arial" w:eastAsia="Times New Roman" w:cs="Arial"/>
                <w:b/>
                <w:color w:val="000000"/>
                <w:sz w:val="20"/>
                <w:szCs w:val="20"/>
              </w:rPr>
              <w:t>Specificity (% correctly predicted non-dives)</w:t>
            </w:r>
          </w:p>
        </w:tc>
        <w:tc>
          <w:tcPr>
            <w:tcW w:w="709" w:type="dxa"/>
            <w:tcBorders>
              <w:bottom w:val="single" w:color="auto" w:sz="4" w:space="0"/>
            </w:tcBorders>
            <w:shd w:val="clear" w:color="auto" w:fill="auto"/>
            <w:noWrap/>
            <w:vAlign w:val="center"/>
          </w:tcPr>
          <w:p>
            <w:pPr>
              <w:jc w:val="center"/>
              <w:rPr>
                <w:rFonts w:ascii="Arial" w:hAnsi="Arial" w:eastAsia="Times New Roman" w:cs="Arial"/>
                <w:b/>
                <w:color w:val="000000"/>
                <w:sz w:val="20"/>
                <w:szCs w:val="20"/>
              </w:rPr>
            </w:pPr>
            <w:r>
              <w:rPr>
                <w:rFonts w:ascii="Arial" w:hAnsi="Arial" w:eastAsia="Times New Roman" w:cs="Arial"/>
                <w:b/>
                <w:color w:val="000000"/>
                <w:sz w:val="20"/>
                <w:szCs w:val="20"/>
              </w:rPr>
              <w:t>PPV</w:t>
            </w:r>
          </w:p>
        </w:tc>
        <w:tc>
          <w:tcPr>
            <w:tcW w:w="847" w:type="dxa"/>
            <w:tcBorders>
              <w:bottom w:val="single" w:color="auto" w:sz="4" w:space="0"/>
            </w:tcBorders>
            <w:shd w:val="clear" w:color="auto" w:fill="auto"/>
            <w:noWrap/>
            <w:vAlign w:val="center"/>
          </w:tcPr>
          <w:p>
            <w:pPr>
              <w:jc w:val="center"/>
              <w:rPr>
                <w:rFonts w:ascii="Arial" w:hAnsi="Arial" w:eastAsia="Times New Roman" w:cs="Arial"/>
                <w:b/>
                <w:color w:val="000000"/>
                <w:sz w:val="20"/>
                <w:szCs w:val="20"/>
              </w:rPr>
            </w:pPr>
            <w:r>
              <w:rPr>
                <w:rFonts w:ascii="Arial" w:hAnsi="Arial" w:eastAsia="Times New Roman" w:cs="Arial"/>
                <w:b/>
                <w:color w:val="000000"/>
                <w:sz w:val="20"/>
                <w:szCs w:val="20"/>
              </w:rPr>
              <w:t>NPV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47" w:type="dxa"/>
            <w:vMerge w:val="restart"/>
            <w:shd w:val="clear" w:color="auto" w:fill="auto"/>
            <w:noWrap/>
            <w:vAlign w:val="center"/>
          </w:tcPr>
          <w:p>
            <w:pPr>
              <w:jc w:val="center"/>
              <w:rPr>
                <w:rFonts w:ascii="Arial" w:hAnsi="Arial" w:eastAsia="Times New Roman" w:cs="Arial"/>
                <w:b/>
                <w:color w:val="000000"/>
                <w:sz w:val="20"/>
                <w:szCs w:val="20"/>
              </w:rPr>
            </w:pPr>
            <w:r>
              <w:rPr>
                <w:rFonts w:ascii="Arial" w:hAnsi="Arial" w:eastAsia="Times New Roman" w:cs="Arial"/>
                <w:b/>
                <w:color w:val="000000"/>
                <w:sz w:val="20"/>
                <w:szCs w:val="20"/>
              </w:rPr>
              <w:t>European shag</w:t>
            </w:r>
          </w:p>
        </w:tc>
        <w:tc>
          <w:tcPr>
            <w:tcW w:w="996" w:type="dxa"/>
            <w:tcBorders>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10</w:t>
            </w:r>
          </w:p>
        </w:tc>
        <w:tc>
          <w:tcPr>
            <w:tcW w:w="1128" w:type="dxa"/>
            <w:tcBorders>
              <w:left w:val="single" w:color="auto" w:sz="4" w:space="0"/>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0.95</w:t>
            </w:r>
          </w:p>
        </w:tc>
        <w:tc>
          <w:tcPr>
            <w:tcW w:w="1276" w:type="dxa"/>
            <w:tcBorders>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0.91</w:t>
            </w:r>
          </w:p>
        </w:tc>
        <w:tc>
          <w:tcPr>
            <w:tcW w:w="1276" w:type="dxa"/>
            <w:tcBorders>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68.1%</w:t>
            </w:r>
          </w:p>
        </w:tc>
        <w:tc>
          <w:tcPr>
            <w:tcW w:w="1275" w:type="dxa"/>
            <w:tcBorders>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93.3%</w:t>
            </w:r>
          </w:p>
        </w:tc>
        <w:tc>
          <w:tcPr>
            <w:tcW w:w="709" w:type="dxa"/>
            <w:tcBorders>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0.61</w:t>
            </w:r>
          </w:p>
        </w:tc>
        <w:tc>
          <w:tcPr>
            <w:tcW w:w="847" w:type="dxa"/>
            <w:tcBorders>
              <w:left w:val="nil"/>
              <w:bottom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47" w:type="dxa"/>
            <w:vMerge w:val="continue"/>
            <w:shd w:val="clear" w:color="auto" w:fill="auto"/>
            <w:noWrap/>
            <w:vAlign w:val="center"/>
          </w:tcPr>
          <w:p>
            <w:pPr>
              <w:jc w:val="center"/>
              <w:rPr>
                <w:rFonts w:ascii="Arial" w:hAnsi="Arial" w:eastAsia="Times New Roman" w:cs="Arial"/>
                <w:b/>
                <w:color w:val="000000"/>
                <w:sz w:val="20"/>
                <w:szCs w:val="20"/>
              </w:rPr>
            </w:pPr>
          </w:p>
        </w:tc>
        <w:tc>
          <w:tcPr>
            <w:tcW w:w="996" w:type="dxa"/>
            <w:tcBorders>
              <w:top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20</w:t>
            </w:r>
          </w:p>
        </w:tc>
        <w:tc>
          <w:tcPr>
            <w:tcW w:w="1128" w:type="dxa"/>
            <w:tcBorders>
              <w:top w:val="nil"/>
              <w:left w:val="single" w:color="auto" w:sz="4" w:space="0"/>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0.98</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0.93</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74.1%</w:t>
            </w:r>
          </w:p>
        </w:tc>
        <w:tc>
          <w:tcPr>
            <w:tcW w:w="1275"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95.4%</w:t>
            </w:r>
          </w:p>
        </w:tc>
        <w:tc>
          <w:tcPr>
            <w:tcW w:w="709"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0.73</w:t>
            </w:r>
          </w:p>
        </w:tc>
        <w:tc>
          <w:tcPr>
            <w:tcW w:w="847" w:type="dxa"/>
            <w:tcBorders>
              <w:top w:val="nil"/>
              <w:left w:val="nil"/>
              <w:bottom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47" w:type="dxa"/>
            <w:vMerge w:val="continue"/>
            <w:shd w:val="clear" w:color="auto" w:fill="auto"/>
            <w:noWrap/>
            <w:vAlign w:val="center"/>
          </w:tcPr>
          <w:p>
            <w:pPr>
              <w:jc w:val="center"/>
              <w:rPr>
                <w:rFonts w:ascii="Arial" w:hAnsi="Arial" w:eastAsia="Times New Roman" w:cs="Arial"/>
                <w:b/>
                <w:color w:val="000000"/>
                <w:sz w:val="20"/>
                <w:szCs w:val="20"/>
              </w:rPr>
            </w:pPr>
          </w:p>
        </w:tc>
        <w:tc>
          <w:tcPr>
            <w:tcW w:w="996" w:type="dxa"/>
            <w:tcBorders>
              <w:top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30</w:t>
            </w:r>
          </w:p>
        </w:tc>
        <w:tc>
          <w:tcPr>
            <w:tcW w:w="1128" w:type="dxa"/>
            <w:tcBorders>
              <w:top w:val="nil"/>
              <w:left w:val="single" w:color="auto" w:sz="4" w:space="0"/>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0.99</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0.95</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77.4%</w:t>
            </w:r>
          </w:p>
        </w:tc>
        <w:tc>
          <w:tcPr>
            <w:tcW w:w="1275"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96.6%</w:t>
            </w:r>
          </w:p>
        </w:tc>
        <w:tc>
          <w:tcPr>
            <w:tcW w:w="709"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0.79</w:t>
            </w:r>
          </w:p>
        </w:tc>
        <w:tc>
          <w:tcPr>
            <w:tcW w:w="847" w:type="dxa"/>
            <w:tcBorders>
              <w:top w:val="nil"/>
              <w:left w:val="nil"/>
              <w:bottom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trPr>
        <w:tc>
          <w:tcPr>
            <w:tcW w:w="1247" w:type="dxa"/>
            <w:vMerge w:val="continue"/>
            <w:shd w:val="clear" w:color="auto" w:fill="auto"/>
            <w:noWrap/>
            <w:vAlign w:val="center"/>
          </w:tcPr>
          <w:p>
            <w:pPr>
              <w:jc w:val="center"/>
              <w:rPr>
                <w:rFonts w:ascii="Arial" w:hAnsi="Arial" w:eastAsia="Times New Roman" w:cs="Arial"/>
                <w:b/>
                <w:color w:val="000000"/>
                <w:sz w:val="20"/>
                <w:szCs w:val="20"/>
              </w:rPr>
            </w:pPr>
          </w:p>
        </w:tc>
        <w:tc>
          <w:tcPr>
            <w:tcW w:w="996" w:type="dxa"/>
            <w:tcBorders>
              <w:top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40</w:t>
            </w:r>
          </w:p>
        </w:tc>
        <w:tc>
          <w:tcPr>
            <w:tcW w:w="1128" w:type="dxa"/>
            <w:tcBorders>
              <w:top w:val="nil"/>
              <w:left w:val="single" w:color="auto" w:sz="4" w:space="0"/>
              <w:bottom w:val="single" w:color="auto" w:sz="4" w:space="0"/>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1.00</w:t>
            </w:r>
          </w:p>
        </w:tc>
        <w:tc>
          <w:tcPr>
            <w:tcW w:w="1276" w:type="dxa"/>
            <w:tcBorders>
              <w:top w:val="nil"/>
              <w:left w:val="nil"/>
              <w:bottom w:val="single" w:color="auto" w:sz="4" w:space="0"/>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0.96</w:t>
            </w:r>
          </w:p>
        </w:tc>
        <w:tc>
          <w:tcPr>
            <w:tcW w:w="1276" w:type="dxa"/>
            <w:tcBorders>
              <w:top w:val="nil"/>
              <w:left w:val="nil"/>
              <w:bottom w:val="single" w:color="auto" w:sz="4" w:space="0"/>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84.0%</w:t>
            </w:r>
          </w:p>
        </w:tc>
        <w:tc>
          <w:tcPr>
            <w:tcW w:w="1275" w:type="dxa"/>
            <w:tcBorders>
              <w:top w:val="nil"/>
              <w:left w:val="nil"/>
              <w:bottom w:val="single" w:color="auto" w:sz="4" w:space="0"/>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96.6%</w:t>
            </w:r>
          </w:p>
        </w:tc>
        <w:tc>
          <w:tcPr>
            <w:tcW w:w="709" w:type="dxa"/>
            <w:tcBorders>
              <w:top w:val="nil"/>
              <w:left w:val="nil"/>
              <w:bottom w:val="single" w:color="auto" w:sz="4" w:space="0"/>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0.8</w:t>
            </w:r>
          </w:p>
        </w:tc>
        <w:tc>
          <w:tcPr>
            <w:tcW w:w="847" w:type="dxa"/>
            <w:tcBorders>
              <w:top w:val="nil"/>
              <w:left w:val="nil"/>
              <w:bottom w:val="single" w:color="auto" w:sz="4" w:space="0"/>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47" w:type="dxa"/>
            <w:vMerge w:val="restart"/>
            <w:shd w:val="clear" w:color="auto" w:fill="auto"/>
            <w:noWrap/>
            <w:vAlign w:val="center"/>
          </w:tcPr>
          <w:p>
            <w:pPr>
              <w:jc w:val="center"/>
              <w:rPr>
                <w:rFonts w:ascii="Arial" w:hAnsi="Arial" w:eastAsia="Times New Roman" w:cs="Arial"/>
                <w:b/>
                <w:color w:val="000000"/>
                <w:sz w:val="20"/>
                <w:szCs w:val="20"/>
              </w:rPr>
            </w:pPr>
            <w:r>
              <w:rPr>
                <w:rFonts w:ascii="Arial" w:hAnsi="Arial" w:eastAsia="Times New Roman" w:cs="Arial"/>
                <w:b/>
                <w:color w:val="000000"/>
                <w:sz w:val="20"/>
                <w:szCs w:val="20"/>
              </w:rPr>
              <w:t>Common guillemot</w:t>
            </w:r>
          </w:p>
        </w:tc>
        <w:tc>
          <w:tcPr>
            <w:tcW w:w="996" w:type="dxa"/>
            <w:tcBorders>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10</w:t>
            </w:r>
          </w:p>
        </w:tc>
        <w:tc>
          <w:tcPr>
            <w:tcW w:w="1128" w:type="dxa"/>
            <w:tcBorders>
              <w:left w:val="single" w:color="auto" w:sz="4" w:space="0"/>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0.91</w:t>
            </w:r>
          </w:p>
        </w:tc>
        <w:tc>
          <w:tcPr>
            <w:tcW w:w="1276" w:type="dxa"/>
            <w:tcBorders>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0.89</w:t>
            </w:r>
          </w:p>
        </w:tc>
        <w:tc>
          <w:tcPr>
            <w:tcW w:w="1276" w:type="dxa"/>
            <w:tcBorders>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66.3%</w:t>
            </w:r>
          </w:p>
        </w:tc>
        <w:tc>
          <w:tcPr>
            <w:tcW w:w="1275" w:type="dxa"/>
            <w:tcBorders>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92.6%</w:t>
            </w:r>
          </w:p>
        </w:tc>
        <w:tc>
          <w:tcPr>
            <w:tcW w:w="709" w:type="dxa"/>
            <w:tcBorders>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0.67</w:t>
            </w:r>
          </w:p>
        </w:tc>
        <w:tc>
          <w:tcPr>
            <w:tcW w:w="847" w:type="dxa"/>
            <w:tcBorders>
              <w:left w:val="nil"/>
              <w:bottom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47" w:type="dxa"/>
            <w:vMerge w:val="continue"/>
            <w:shd w:val="clear" w:color="auto" w:fill="auto"/>
            <w:noWrap/>
            <w:vAlign w:val="center"/>
          </w:tcPr>
          <w:p>
            <w:pPr>
              <w:jc w:val="center"/>
              <w:rPr>
                <w:rFonts w:ascii="Arial" w:hAnsi="Arial" w:eastAsia="Times New Roman" w:cs="Arial"/>
                <w:b/>
                <w:color w:val="000000"/>
                <w:sz w:val="20"/>
                <w:szCs w:val="20"/>
              </w:rPr>
            </w:pPr>
          </w:p>
        </w:tc>
        <w:tc>
          <w:tcPr>
            <w:tcW w:w="996" w:type="dxa"/>
            <w:tcBorders>
              <w:top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20</w:t>
            </w:r>
          </w:p>
        </w:tc>
        <w:tc>
          <w:tcPr>
            <w:tcW w:w="1128" w:type="dxa"/>
            <w:tcBorders>
              <w:top w:val="nil"/>
              <w:left w:val="single" w:color="auto" w:sz="4" w:space="0"/>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0.96</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0.91</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71.5%</w:t>
            </w:r>
          </w:p>
        </w:tc>
        <w:tc>
          <w:tcPr>
            <w:tcW w:w="1275"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92.8%</w:t>
            </w:r>
          </w:p>
        </w:tc>
        <w:tc>
          <w:tcPr>
            <w:tcW w:w="709"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0.7</w:t>
            </w:r>
          </w:p>
        </w:tc>
        <w:tc>
          <w:tcPr>
            <w:tcW w:w="847" w:type="dxa"/>
            <w:tcBorders>
              <w:top w:val="nil"/>
              <w:left w:val="nil"/>
              <w:bottom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47" w:type="dxa"/>
            <w:vMerge w:val="continue"/>
            <w:shd w:val="clear" w:color="auto" w:fill="auto"/>
            <w:noWrap/>
            <w:vAlign w:val="center"/>
          </w:tcPr>
          <w:p>
            <w:pPr>
              <w:jc w:val="center"/>
              <w:rPr>
                <w:rFonts w:ascii="Arial" w:hAnsi="Arial" w:eastAsia="Times New Roman" w:cs="Arial"/>
                <w:b/>
                <w:color w:val="000000"/>
                <w:sz w:val="20"/>
                <w:szCs w:val="20"/>
              </w:rPr>
            </w:pPr>
          </w:p>
        </w:tc>
        <w:tc>
          <w:tcPr>
            <w:tcW w:w="996" w:type="dxa"/>
            <w:tcBorders>
              <w:top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30</w:t>
            </w:r>
          </w:p>
        </w:tc>
        <w:tc>
          <w:tcPr>
            <w:tcW w:w="1128" w:type="dxa"/>
            <w:tcBorders>
              <w:top w:val="nil"/>
              <w:left w:val="single" w:color="auto" w:sz="4" w:space="0"/>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0.98</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0.94</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76.9%</w:t>
            </w:r>
          </w:p>
        </w:tc>
        <w:tc>
          <w:tcPr>
            <w:tcW w:w="1275"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93.7%</w:t>
            </w:r>
          </w:p>
        </w:tc>
        <w:tc>
          <w:tcPr>
            <w:tcW w:w="709"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0.74</w:t>
            </w:r>
          </w:p>
        </w:tc>
        <w:tc>
          <w:tcPr>
            <w:tcW w:w="847" w:type="dxa"/>
            <w:tcBorders>
              <w:top w:val="nil"/>
              <w:left w:val="nil"/>
              <w:bottom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47" w:type="dxa"/>
            <w:vMerge w:val="continue"/>
            <w:shd w:val="clear" w:color="auto" w:fill="auto"/>
            <w:noWrap/>
            <w:vAlign w:val="center"/>
          </w:tcPr>
          <w:p>
            <w:pPr>
              <w:jc w:val="center"/>
              <w:rPr>
                <w:rFonts w:ascii="Arial" w:hAnsi="Arial" w:eastAsia="Times New Roman" w:cs="Arial"/>
                <w:b/>
                <w:color w:val="000000"/>
                <w:sz w:val="20"/>
                <w:szCs w:val="20"/>
              </w:rPr>
            </w:pPr>
          </w:p>
        </w:tc>
        <w:tc>
          <w:tcPr>
            <w:tcW w:w="996" w:type="dxa"/>
            <w:tcBorders>
              <w:top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40</w:t>
            </w:r>
          </w:p>
        </w:tc>
        <w:tc>
          <w:tcPr>
            <w:tcW w:w="1128" w:type="dxa"/>
            <w:tcBorders>
              <w:top w:val="nil"/>
              <w:left w:val="single" w:color="auto" w:sz="4" w:space="0"/>
              <w:bottom w:val="single" w:color="auto" w:sz="4" w:space="0"/>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0.99</w:t>
            </w:r>
          </w:p>
        </w:tc>
        <w:tc>
          <w:tcPr>
            <w:tcW w:w="1276" w:type="dxa"/>
            <w:tcBorders>
              <w:top w:val="nil"/>
              <w:left w:val="nil"/>
              <w:bottom w:val="single" w:color="auto" w:sz="4" w:space="0"/>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0.96</w:t>
            </w:r>
          </w:p>
        </w:tc>
        <w:tc>
          <w:tcPr>
            <w:tcW w:w="1276" w:type="dxa"/>
            <w:tcBorders>
              <w:top w:val="nil"/>
              <w:left w:val="nil"/>
              <w:bottom w:val="single" w:color="auto" w:sz="4" w:space="0"/>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80.5%</w:t>
            </w:r>
          </w:p>
        </w:tc>
        <w:tc>
          <w:tcPr>
            <w:tcW w:w="1275" w:type="dxa"/>
            <w:tcBorders>
              <w:top w:val="nil"/>
              <w:left w:val="nil"/>
              <w:bottom w:val="single" w:color="auto" w:sz="4" w:space="0"/>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95.0%</w:t>
            </w:r>
          </w:p>
        </w:tc>
        <w:tc>
          <w:tcPr>
            <w:tcW w:w="709" w:type="dxa"/>
            <w:tcBorders>
              <w:top w:val="nil"/>
              <w:left w:val="nil"/>
              <w:bottom w:val="single" w:color="auto" w:sz="4" w:space="0"/>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0.79</w:t>
            </w:r>
          </w:p>
        </w:tc>
        <w:tc>
          <w:tcPr>
            <w:tcW w:w="847" w:type="dxa"/>
            <w:tcBorders>
              <w:top w:val="nil"/>
              <w:left w:val="nil"/>
              <w:bottom w:val="single" w:color="auto" w:sz="4" w:space="0"/>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00" w:hRule="atLeast"/>
        </w:trPr>
        <w:tc>
          <w:tcPr>
            <w:tcW w:w="1247" w:type="dxa"/>
            <w:vMerge w:val="restart"/>
            <w:shd w:val="clear" w:color="auto" w:fill="auto"/>
            <w:noWrap/>
            <w:vAlign w:val="center"/>
          </w:tcPr>
          <w:p>
            <w:pPr>
              <w:jc w:val="center"/>
              <w:rPr>
                <w:rFonts w:ascii="Arial" w:hAnsi="Arial" w:eastAsia="Times New Roman" w:cs="Arial"/>
                <w:b/>
                <w:color w:val="000000"/>
                <w:sz w:val="20"/>
                <w:szCs w:val="20"/>
              </w:rPr>
            </w:pPr>
            <w:r>
              <w:rPr>
                <w:rFonts w:ascii="Arial" w:hAnsi="Arial" w:eastAsia="Times New Roman" w:cs="Arial"/>
                <w:b/>
                <w:color w:val="000000"/>
                <w:sz w:val="20"/>
                <w:szCs w:val="20"/>
              </w:rPr>
              <w:t>Razorbill</w:t>
            </w:r>
          </w:p>
        </w:tc>
        <w:tc>
          <w:tcPr>
            <w:tcW w:w="996" w:type="dxa"/>
            <w:tcBorders>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10</w:t>
            </w:r>
          </w:p>
        </w:tc>
        <w:tc>
          <w:tcPr>
            <w:tcW w:w="1128" w:type="dxa"/>
            <w:tcBorders>
              <w:left w:val="single" w:color="auto" w:sz="4" w:space="0"/>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0.88</w:t>
            </w:r>
          </w:p>
        </w:tc>
        <w:tc>
          <w:tcPr>
            <w:tcW w:w="1276" w:type="dxa"/>
            <w:tcBorders>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0.85</w:t>
            </w:r>
          </w:p>
        </w:tc>
        <w:tc>
          <w:tcPr>
            <w:tcW w:w="1276" w:type="dxa"/>
            <w:tcBorders>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54.6%</w:t>
            </w:r>
          </w:p>
        </w:tc>
        <w:tc>
          <w:tcPr>
            <w:tcW w:w="1275" w:type="dxa"/>
            <w:tcBorders>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91.1%</w:t>
            </w:r>
          </w:p>
        </w:tc>
        <w:tc>
          <w:tcPr>
            <w:tcW w:w="709" w:type="dxa"/>
            <w:tcBorders>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0.51</w:t>
            </w:r>
          </w:p>
        </w:tc>
        <w:tc>
          <w:tcPr>
            <w:tcW w:w="847" w:type="dxa"/>
            <w:tcBorders>
              <w:left w:val="nil"/>
              <w:bottom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47" w:type="dxa"/>
            <w:vMerge w:val="continue"/>
            <w:shd w:val="clear" w:color="auto" w:fill="auto"/>
            <w:noWrap/>
            <w:vAlign w:val="center"/>
          </w:tcPr>
          <w:p>
            <w:pPr>
              <w:jc w:val="center"/>
              <w:rPr>
                <w:rFonts w:ascii="Arial" w:hAnsi="Arial" w:eastAsia="Times New Roman" w:cs="Arial"/>
                <w:color w:val="000000"/>
                <w:sz w:val="20"/>
                <w:szCs w:val="20"/>
              </w:rPr>
            </w:pPr>
          </w:p>
        </w:tc>
        <w:tc>
          <w:tcPr>
            <w:tcW w:w="996" w:type="dxa"/>
            <w:tcBorders>
              <w:top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20</w:t>
            </w:r>
          </w:p>
        </w:tc>
        <w:tc>
          <w:tcPr>
            <w:tcW w:w="1128" w:type="dxa"/>
            <w:tcBorders>
              <w:top w:val="nil"/>
              <w:left w:val="single" w:color="auto" w:sz="4" w:space="0"/>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0.93</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0.89</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61.2%</w:t>
            </w:r>
          </w:p>
        </w:tc>
        <w:tc>
          <w:tcPr>
            <w:tcW w:w="1275"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92.4%</w:t>
            </w:r>
          </w:p>
        </w:tc>
        <w:tc>
          <w:tcPr>
            <w:tcW w:w="709"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0.58</w:t>
            </w:r>
          </w:p>
        </w:tc>
        <w:tc>
          <w:tcPr>
            <w:tcW w:w="847" w:type="dxa"/>
            <w:tcBorders>
              <w:top w:val="nil"/>
              <w:left w:val="nil"/>
              <w:bottom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47" w:type="dxa"/>
            <w:vMerge w:val="continue"/>
            <w:shd w:val="clear" w:color="auto" w:fill="auto"/>
            <w:noWrap/>
            <w:vAlign w:val="center"/>
          </w:tcPr>
          <w:p>
            <w:pPr>
              <w:jc w:val="center"/>
              <w:rPr>
                <w:rFonts w:ascii="Arial" w:hAnsi="Arial" w:eastAsia="Times New Roman" w:cs="Arial"/>
                <w:color w:val="000000"/>
                <w:sz w:val="20"/>
                <w:szCs w:val="20"/>
              </w:rPr>
            </w:pPr>
          </w:p>
        </w:tc>
        <w:tc>
          <w:tcPr>
            <w:tcW w:w="996" w:type="dxa"/>
            <w:tcBorders>
              <w:top w:val="single" w:color="auto" w:sz="4" w:space="0"/>
              <w:bottom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30</w:t>
            </w:r>
          </w:p>
        </w:tc>
        <w:tc>
          <w:tcPr>
            <w:tcW w:w="1128" w:type="dxa"/>
            <w:tcBorders>
              <w:top w:val="nil"/>
              <w:left w:val="single" w:color="auto" w:sz="4" w:space="0"/>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0.97</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0.93</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67.5%</w:t>
            </w:r>
          </w:p>
        </w:tc>
        <w:tc>
          <w:tcPr>
            <w:tcW w:w="1275"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94.2%</w:t>
            </w:r>
          </w:p>
        </w:tc>
        <w:tc>
          <w:tcPr>
            <w:tcW w:w="709" w:type="dxa"/>
            <w:tcBorders>
              <w:top w:val="nil"/>
              <w:left w:val="nil"/>
              <w:bottom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0.66</w:t>
            </w:r>
          </w:p>
        </w:tc>
        <w:tc>
          <w:tcPr>
            <w:tcW w:w="847" w:type="dxa"/>
            <w:tcBorders>
              <w:top w:val="nil"/>
              <w:left w:val="nil"/>
              <w:bottom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00" w:hRule="atLeast"/>
        </w:trPr>
        <w:tc>
          <w:tcPr>
            <w:tcW w:w="1247" w:type="dxa"/>
            <w:vMerge w:val="continue"/>
            <w:shd w:val="clear" w:color="auto" w:fill="auto"/>
            <w:noWrap/>
            <w:vAlign w:val="center"/>
          </w:tcPr>
          <w:p>
            <w:pPr>
              <w:jc w:val="center"/>
              <w:rPr>
                <w:rFonts w:ascii="Arial" w:hAnsi="Arial" w:eastAsia="Times New Roman" w:cs="Arial"/>
                <w:color w:val="000000"/>
                <w:sz w:val="20"/>
                <w:szCs w:val="20"/>
              </w:rPr>
            </w:pPr>
          </w:p>
        </w:tc>
        <w:tc>
          <w:tcPr>
            <w:tcW w:w="996" w:type="dxa"/>
            <w:tcBorders>
              <w:top w:val="single" w:color="auto" w:sz="4" w:space="0"/>
              <w:right w:val="single" w:color="auto" w:sz="4" w:space="0"/>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40</w:t>
            </w:r>
          </w:p>
        </w:tc>
        <w:tc>
          <w:tcPr>
            <w:tcW w:w="1128" w:type="dxa"/>
            <w:tcBorders>
              <w:top w:val="nil"/>
              <w:left w:val="single" w:color="auto" w:sz="4" w:space="0"/>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0.98</w:t>
            </w:r>
          </w:p>
        </w:tc>
        <w:tc>
          <w:tcPr>
            <w:tcW w:w="1276" w:type="dxa"/>
            <w:tcBorders>
              <w:top w:val="nil"/>
              <w:left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0.95</w:t>
            </w:r>
          </w:p>
        </w:tc>
        <w:tc>
          <w:tcPr>
            <w:tcW w:w="1276" w:type="dxa"/>
            <w:tcBorders>
              <w:top w:val="nil"/>
              <w:left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75.7%</w:t>
            </w:r>
          </w:p>
        </w:tc>
        <w:tc>
          <w:tcPr>
            <w:tcW w:w="1275" w:type="dxa"/>
            <w:tcBorders>
              <w:top w:val="nil"/>
              <w:left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95.0%</w:t>
            </w:r>
          </w:p>
        </w:tc>
        <w:tc>
          <w:tcPr>
            <w:tcW w:w="709" w:type="dxa"/>
            <w:tcBorders>
              <w:top w:val="nil"/>
              <w:left w:val="nil"/>
              <w:righ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0.72</w:t>
            </w:r>
          </w:p>
        </w:tc>
        <w:tc>
          <w:tcPr>
            <w:tcW w:w="847" w:type="dxa"/>
            <w:tcBorders>
              <w:top w:val="nil"/>
              <w:left w:val="nil"/>
            </w:tcBorders>
            <w:shd w:val="clear" w:color="auto" w:fill="auto"/>
            <w:noWrap/>
            <w:vAlign w:val="center"/>
          </w:tcPr>
          <w:p>
            <w:pPr>
              <w:jc w:val="center"/>
              <w:rPr>
                <w:rFonts w:ascii="Arial" w:hAnsi="Arial" w:eastAsia="Times New Roman" w:cs="Arial"/>
                <w:color w:val="000000"/>
                <w:sz w:val="20"/>
                <w:szCs w:val="20"/>
              </w:rPr>
            </w:pPr>
            <w:r>
              <w:rPr>
                <w:rFonts w:ascii="Arial" w:hAnsi="Arial" w:eastAsia="Times New Roman" w:cs="Arial"/>
                <w:color w:val="000000"/>
                <w:sz w:val="20"/>
                <w:szCs w:val="20"/>
              </w:rPr>
              <w:t>0.96</w:t>
            </w:r>
          </w:p>
        </w:tc>
      </w:tr>
    </w:tbl>
    <w:p>
      <w:pPr>
        <w:pStyle w:val="3"/>
        <w:keepNext/>
        <w:rPr>
          <w:rFonts w:ascii="Arial" w:hAnsi="Arial"/>
          <w:b w:val="0"/>
          <w:color w:val="auto"/>
          <w:sz w:val="20"/>
          <w:u w:val="single"/>
        </w:rPr>
      </w:pPr>
    </w:p>
    <w:p/>
    <w:p>
      <w:pPr>
        <w:keepNext/>
        <w:rPr>
          <w:rFonts w:ascii="Arial" w:hAnsi="Arial"/>
          <w:sz w:val="20"/>
          <w:u w:val="single"/>
        </w:rPr>
      </w:pPr>
    </w:p>
    <w:p>
      <w:pPr>
        <w:keepNext/>
      </w:pPr>
      <w:r>
        <w:rPr>
          <w:lang w:val="en-US"/>
        </w:rPr>
        <w:drawing>
          <wp:inline distT="0" distB="0" distL="0" distR="0">
            <wp:extent cx="3896360" cy="75596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96974" cy="7560000"/>
                    </a:xfrm>
                    <a:prstGeom prst="rect">
                      <a:avLst/>
                    </a:prstGeom>
                  </pic:spPr>
                </pic:pic>
              </a:graphicData>
            </a:graphic>
          </wp:inline>
        </w:drawing>
      </w:r>
    </w:p>
    <w:p>
      <w:pPr>
        <w:pStyle w:val="3"/>
        <w:rPr>
          <w:rFonts w:ascii="Arial" w:hAnsi="Arial" w:cs="Arial"/>
          <w:color w:val="auto"/>
        </w:rPr>
      </w:pPr>
      <w:r>
        <w:rPr>
          <w:rFonts w:ascii="Arial" w:hAnsi="Arial" w:cs="Arial"/>
          <w:color w:val="auto"/>
        </w:rPr>
        <w:t xml:space="preserve">Figure S4.1: Validation AUC (i) and sensitivity (ii) of models when window size was varied from 10 – 40 points for (a) European shags, (b) common guillemots and (c) razorbills. Models were run using all four variables (altitude, coverage, </w:t>
      </w:r>
      <w:r>
        <w:rPr>
          <w:rFonts w:ascii="Arial" w:hAnsi="Arial" w:cs="Arial"/>
          <w:i/>
          <w:color w:val="auto"/>
        </w:rPr>
        <w:t xml:space="preserve">Xbar </w:t>
      </w:r>
      <w:r>
        <w:rPr>
          <w:rFonts w:ascii="Arial" w:hAnsi="Arial" w:cs="Arial"/>
          <w:color w:val="auto"/>
        </w:rPr>
        <w:t xml:space="preserve">and </w:t>
      </w:r>
      <w:r>
        <w:rPr>
          <w:rFonts w:ascii="Arial" w:hAnsi="Arial" w:cs="Arial"/>
          <w:i/>
          <w:color w:val="auto"/>
        </w:rPr>
        <w:t>Ybar</w:t>
      </w:r>
      <w:r>
        <w:rPr>
          <w:rFonts w:ascii="Arial" w:hAnsi="Arial" w:cs="Arial"/>
          <w:color w:val="auto"/>
        </w:rPr>
        <w:t>). Note the y-axis starts at 0.5 in order to show more clearly the change in value with increasing window size.</w:t>
      </w:r>
    </w:p>
    <w:p>
      <w:pPr>
        <w:rPr>
          <w:rFonts w:ascii="Arial" w:hAnsi="Arial"/>
          <w:bCs/>
          <w:sz w:val="20"/>
          <w:szCs w:val="18"/>
          <w:u w:val="single"/>
        </w:rPr>
      </w:pPr>
      <w:r>
        <w:rPr>
          <w:rFonts w:ascii="Arial" w:hAnsi="Arial"/>
          <w:b/>
          <w:sz w:val="20"/>
          <w:u w:val="single"/>
        </w:rPr>
        <w:br w:type="page"/>
      </w:r>
    </w:p>
    <w:p>
      <w:pPr>
        <w:spacing w:line="480" w:lineRule="auto"/>
        <w:rPr>
          <w:rFonts w:ascii="Arial" w:hAnsi="Arial"/>
          <w:bCs/>
          <w:sz w:val="20"/>
          <w:szCs w:val="18"/>
          <w:u w:val="single"/>
        </w:rPr>
      </w:pPr>
      <w:r>
        <w:rPr>
          <w:rFonts w:ascii="Arial" w:hAnsi="Arial"/>
          <w:bCs/>
          <w:sz w:val="20"/>
          <w:szCs w:val="18"/>
          <w:u w:val="single"/>
        </w:rPr>
        <w:t xml:space="preserve">Appendix S5: The mean results of all models using 10-fold cross validation and species. </w:t>
      </w:r>
    </w:p>
    <w:p>
      <w:pPr>
        <w:pStyle w:val="3"/>
        <w:keepNext/>
        <w:rPr>
          <w:rFonts w:ascii="Arial" w:hAnsi="Arial"/>
          <w:color w:val="auto"/>
        </w:rPr>
      </w:pPr>
      <w:r>
        <w:rPr>
          <w:rFonts w:ascii="Arial" w:hAnsi="Arial"/>
          <w:color w:val="auto"/>
        </w:rPr>
        <w:t>Table S5.1: The mean results of the 10 fold cross validation of each model for European shags, common guillemots and razorbills.</w:t>
      </w:r>
      <w:r>
        <w:rPr>
          <w:rFonts w:ascii="Arial" w:hAnsi="Arial" w:cs="Arial"/>
          <w:color w:val="auto"/>
        </w:rPr>
        <w:t xml:space="preserve"> </w:t>
      </w:r>
      <w:r>
        <w:rPr>
          <w:rFonts w:ascii="Arial" w:hAnsi="Arial"/>
          <w:color w:val="auto"/>
        </w:rPr>
        <w:t>PPV is the positive predicted value; NPV is the negative predictive value.</w:t>
      </w:r>
    </w:p>
    <w:tbl>
      <w:tblPr>
        <w:tblStyle w:val="11"/>
        <w:tblW w:w="8516" w:type="dxa"/>
        <w:tblInd w:w="0" w:type="dxa"/>
        <w:tblLayout w:type="fixed"/>
        <w:tblCellMar>
          <w:top w:w="0" w:type="dxa"/>
          <w:left w:w="108" w:type="dxa"/>
          <w:bottom w:w="0" w:type="dxa"/>
          <w:right w:w="108" w:type="dxa"/>
        </w:tblCellMar>
      </w:tblPr>
      <w:tblGrid>
        <w:gridCol w:w="348"/>
        <w:gridCol w:w="1830"/>
        <w:gridCol w:w="1053"/>
        <w:gridCol w:w="1133"/>
        <w:gridCol w:w="1133"/>
        <w:gridCol w:w="1134"/>
        <w:gridCol w:w="991"/>
        <w:gridCol w:w="894"/>
      </w:tblGrid>
      <w:tr>
        <w:tblPrEx>
          <w:tblLayout w:type="fixed"/>
          <w:tblCellMar>
            <w:top w:w="0" w:type="dxa"/>
            <w:left w:w="108" w:type="dxa"/>
            <w:bottom w:w="0" w:type="dxa"/>
            <w:right w:w="108" w:type="dxa"/>
          </w:tblCellMar>
        </w:tblPrEx>
        <w:trPr>
          <w:trHeight w:val="1148" w:hRule="atLeast"/>
        </w:trPr>
        <w:tc>
          <w:tcPr>
            <w:tcW w:w="348" w:type="dxa"/>
            <w:tcBorders>
              <w:top w:val="single" w:color="auto" w:sz="8" w:space="0"/>
              <w:left w:val="single" w:color="auto" w:sz="12" w:space="0"/>
              <w:bottom w:val="single" w:color="auto" w:sz="18" w:space="0"/>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 </w:t>
            </w:r>
          </w:p>
        </w:tc>
        <w:tc>
          <w:tcPr>
            <w:tcW w:w="1830" w:type="dxa"/>
            <w:tcBorders>
              <w:top w:val="single" w:color="auto" w:sz="8" w:space="0"/>
              <w:left w:val="single" w:color="auto" w:sz="12" w:space="0"/>
              <w:bottom w:val="single" w:color="auto" w:sz="18" w:space="0"/>
              <w:right w:val="single" w:color="auto" w:sz="12"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b/>
                <w:bCs/>
                <w:color w:val="000000"/>
                <w:sz w:val="18"/>
                <w:szCs w:val="18"/>
              </w:rPr>
              <w:t>Model inputs</w:t>
            </w:r>
          </w:p>
        </w:tc>
        <w:tc>
          <w:tcPr>
            <w:tcW w:w="1053" w:type="dxa"/>
            <w:tcBorders>
              <w:top w:val="single" w:color="auto" w:sz="8" w:space="0"/>
              <w:left w:val="single" w:color="auto" w:sz="12" w:space="0"/>
              <w:bottom w:val="single" w:color="auto" w:sz="18" w:space="0"/>
              <w:right w:val="nil"/>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Training AUC</w:t>
            </w:r>
          </w:p>
        </w:tc>
        <w:tc>
          <w:tcPr>
            <w:tcW w:w="1133" w:type="dxa"/>
            <w:tcBorders>
              <w:top w:val="single" w:color="auto" w:sz="8" w:space="0"/>
              <w:left w:val="nil"/>
              <w:bottom w:val="single" w:color="auto" w:sz="18" w:space="0"/>
              <w:right w:val="nil"/>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Validation AUC</w:t>
            </w:r>
          </w:p>
        </w:tc>
        <w:tc>
          <w:tcPr>
            <w:tcW w:w="1133" w:type="dxa"/>
            <w:tcBorders>
              <w:top w:val="single" w:color="auto" w:sz="8" w:space="0"/>
              <w:left w:val="nil"/>
              <w:bottom w:val="single" w:color="auto" w:sz="18" w:space="0"/>
              <w:right w:val="nil"/>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Sensitivity</w:t>
            </w:r>
          </w:p>
          <w:p>
            <w:pPr>
              <w:jc w:val="center"/>
              <w:rPr>
                <w:rFonts w:ascii="Arial" w:hAnsi="Arial" w:eastAsia="Times New Roman" w:cs="Arial"/>
                <w:b/>
                <w:bCs/>
                <w:color w:val="000000"/>
                <w:sz w:val="18"/>
                <w:szCs w:val="18"/>
              </w:rPr>
            </w:pPr>
            <w:r>
              <w:rPr>
                <w:rFonts w:ascii="Arial" w:hAnsi="Arial" w:eastAsia="Times New Roman" w:cs="Arial"/>
                <w:color w:val="000000"/>
                <w:sz w:val="18"/>
                <w:szCs w:val="18"/>
              </w:rPr>
              <w:t>(% of correctly predicted dives)</w:t>
            </w:r>
          </w:p>
        </w:tc>
        <w:tc>
          <w:tcPr>
            <w:tcW w:w="1134" w:type="dxa"/>
            <w:tcBorders>
              <w:top w:val="single" w:color="auto" w:sz="8" w:space="0"/>
              <w:left w:val="nil"/>
              <w:bottom w:val="single" w:color="auto" w:sz="18" w:space="0"/>
              <w:right w:val="nil"/>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Specificity</w:t>
            </w:r>
          </w:p>
          <w:p>
            <w:pPr>
              <w:jc w:val="center"/>
              <w:rPr>
                <w:rFonts w:ascii="Arial" w:hAnsi="Arial" w:eastAsia="Times New Roman" w:cs="Arial"/>
                <w:bCs/>
                <w:color w:val="000000"/>
                <w:sz w:val="18"/>
                <w:szCs w:val="18"/>
              </w:rPr>
            </w:pPr>
            <w:r>
              <w:rPr>
                <w:rFonts w:ascii="Arial" w:hAnsi="Arial" w:eastAsia="Times New Roman" w:cs="Arial"/>
                <w:bCs/>
                <w:color w:val="000000"/>
                <w:sz w:val="18"/>
                <w:szCs w:val="18"/>
              </w:rPr>
              <w:t>(% of correctly predicted non-dives</w:t>
            </w:r>
          </w:p>
        </w:tc>
        <w:tc>
          <w:tcPr>
            <w:tcW w:w="991" w:type="dxa"/>
            <w:tcBorders>
              <w:top w:val="single" w:color="auto" w:sz="8" w:space="0"/>
              <w:left w:val="nil"/>
              <w:bottom w:val="single" w:color="auto" w:sz="18" w:space="0"/>
              <w:right w:val="nil"/>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PPV</w:t>
            </w:r>
          </w:p>
        </w:tc>
        <w:tc>
          <w:tcPr>
            <w:tcW w:w="894" w:type="dxa"/>
            <w:tcBorders>
              <w:top w:val="single" w:color="auto" w:sz="8" w:space="0"/>
              <w:left w:val="nil"/>
              <w:bottom w:val="single" w:color="auto" w:sz="18" w:space="0"/>
              <w:right w:val="single" w:color="auto" w:sz="8" w:space="0"/>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NPV</w:t>
            </w:r>
          </w:p>
        </w:tc>
      </w:tr>
      <w:tr>
        <w:tblPrEx>
          <w:tblLayout w:type="fixed"/>
          <w:tblCellMar>
            <w:top w:w="0" w:type="dxa"/>
            <w:left w:w="108" w:type="dxa"/>
            <w:bottom w:w="0" w:type="dxa"/>
            <w:right w:w="108" w:type="dxa"/>
          </w:tblCellMar>
        </w:tblPrEx>
        <w:trPr>
          <w:trHeight w:val="340" w:hRule="atLeast"/>
        </w:trPr>
        <w:tc>
          <w:tcPr>
            <w:tcW w:w="348" w:type="dxa"/>
            <w:vMerge w:val="restart"/>
            <w:tcBorders>
              <w:top w:val="single" w:color="auto" w:sz="18" w:space="0"/>
              <w:left w:val="single" w:color="auto" w:sz="8" w:space="0"/>
              <w:bottom w:val="single" w:color="auto" w:sz="18" w:space="0"/>
              <w:right w:val="single" w:color="auto" w:sz="8" w:space="0"/>
            </w:tcBorders>
            <w:shd w:val="clear" w:color="auto" w:fill="auto"/>
            <w:noWrap/>
            <w:textDirection w:val="btLr"/>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European shag</w:t>
            </w:r>
          </w:p>
        </w:tc>
        <w:tc>
          <w:tcPr>
            <w:tcW w:w="1830" w:type="dxa"/>
            <w:tcBorders>
              <w:top w:val="single" w:color="auto" w:sz="18" w:space="0"/>
              <w:left w:val="nil"/>
              <w:bottom w:val="nil"/>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coverage, Xbar and Ybar</w:t>
            </w:r>
          </w:p>
        </w:tc>
        <w:tc>
          <w:tcPr>
            <w:tcW w:w="1053"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0.95</w:t>
            </w:r>
          </w:p>
        </w:tc>
        <w:tc>
          <w:tcPr>
            <w:tcW w:w="1133"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0.91</w:t>
            </w:r>
          </w:p>
        </w:tc>
        <w:tc>
          <w:tcPr>
            <w:tcW w:w="1133"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67.2%</w:t>
            </w:r>
          </w:p>
        </w:tc>
        <w:tc>
          <w:tcPr>
            <w:tcW w:w="1134"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93.7%</w:t>
            </w:r>
          </w:p>
        </w:tc>
        <w:tc>
          <w:tcPr>
            <w:tcW w:w="991"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0.64</w:t>
            </w:r>
          </w:p>
        </w:tc>
        <w:tc>
          <w:tcPr>
            <w:tcW w:w="894" w:type="dxa"/>
            <w:tcBorders>
              <w:top w:val="single" w:color="auto" w:sz="18" w:space="0"/>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0.95</w:t>
            </w:r>
          </w:p>
        </w:tc>
      </w:tr>
      <w:tr>
        <w:tblPrEx>
          <w:tblLayout w:type="fixed"/>
          <w:tblCellMar>
            <w:top w:w="0" w:type="dxa"/>
            <w:left w:w="108" w:type="dxa"/>
            <w:bottom w:w="0" w:type="dxa"/>
            <w:right w:w="108" w:type="dxa"/>
          </w:tblCellMar>
        </w:tblPrEx>
        <w:trPr>
          <w:trHeight w:val="320" w:hRule="atLeast"/>
        </w:trPr>
        <w:tc>
          <w:tcPr>
            <w:tcW w:w="348"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single" w:color="auto" w:sz="8" w:space="0"/>
              <w:left w:val="nil"/>
              <w:bottom w:val="nil"/>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Xbar and Ybar</w:t>
            </w:r>
          </w:p>
        </w:tc>
        <w:tc>
          <w:tcPr>
            <w:tcW w:w="105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0.91</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0.88</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64.4%</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92.5%</w:t>
            </w:r>
          </w:p>
        </w:tc>
        <w:tc>
          <w:tcPr>
            <w:tcW w:w="99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0.59</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0.94</w:t>
            </w:r>
          </w:p>
        </w:tc>
      </w:tr>
      <w:tr>
        <w:tblPrEx>
          <w:tblLayout w:type="fixed"/>
          <w:tblCellMar>
            <w:top w:w="0" w:type="dxa"/>
            <w:left w:w="108" w:type="dxa"/>
            <w:bottom w:w="0" w:type="dxa"/>
            <w:right w:w="108" w:type="dxa"/>
          </w:tblCellMar>
        </w:tblPrEx>
        <w:trPr>
          <w:trHeight w:val="320" w:hRule="atLeast"/>
        </w:trPr>
        <w:tc>
          <w:tcPr>
            <w:tcW w:w="348"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single" w:color="auto" w:sz="8" w:space="0"/>
              <w:left w:val="nil"/>
              <w:bottom w:val="single" w:color="auto" w:sz="8" w:space="0"/>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Coverage, Xbar and Ybar</w:t>
            </w:r>
          </w:p>
        </w:tc>
        <w:tc>
          <w:tcPr>
            <w:tcW w:w="105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0.88</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0.86</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56.5%</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92.9%</w:t>
            </w:r>
          </w:p>
        </w:tc>
        <w:tc>
          <w:tcPr>
            <w:tcW w:w="99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0.57</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0.93</w:t>
            </w:r>
          </w:p>
        </w:tc>
      </w:tr>
      <w:tr>
        <w:tblPrEx>
          <w:tblLayout w:type="fixed"/>
        </w:tblPrEx>
        <w:trPr>
          <w:trHeight w:val="320" w:hRule="atLeast"/>
        </w:trPr>
        <w:tc>
          <w:tcPr>
            <w:tcW w:w="348"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nil"/>
              <w:left w:val="nil"/>
              <w:bottom w:val="nil"/>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and coverage</w:t>
            </w:r>
          </w:p>
        </w:tc>
        <w:tc>
          <w:tcPr>
            <w:tcW w:w="105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0.88</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0.85</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51.9%</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94.2%</w:t>
            </w:r>
          </w:p>
        </w:tc>
        <w:tc>
          <w:tcPr>
            <w:tcW w:w="99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0.60</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0.92</w:t>
            </w:r>
          </w:p>
        </w:tc>
      </w:tr>
      <w:tr>
        <w:tblPrEx>
          <w:tblLayout w:type="fixed"/>
          <w:tblCellMar>
            <w:top w:w="0" w:type="dxa"/>
            <w:left w:w="108" w:type="dxa"/>
            <w:bottom w:w="0" w:type="dxa"/>
            <w:right w:w="108" w:type="dxa"/>
          </w:tblCellMar>
        </w:tblPrEx>
        <w:trPr>
          <w:trHeight w:val="320" w:hRule="atLeast"/>
        </w:trPr>
        <w:tc>
          <w:tcPr>
            <w:tcW w:w="348"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single" w:color="auto" w:sz="8" w:space="0"/>
              <w:left w:val="nil"/>
              <w:bottom w:val="nil"/>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 xml:space="preserve">Altitude </w:t>
            </w:r>
          </w:p>
        </w:tc>
        <w:tc>
          <w:tcPr>
            <w:tcW w:w="105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0.81</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0.79</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53.8%</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87.9%</w:t>
            </w:r>
          </w:p>
        </w:tc>
        <w:tc>
          <w:tcPr>
            <w:tcW w:w="99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0.42</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0.92</w:t>
            </w:r>
          </w:p>
        </w:tc>
      </w:tr>
      <w:tr>
        <w:tblPrEx>
          <w:tblLayout w:type="fixed"/>
          <w:tblCellMar>
            <w:top w:w="0" w:type="dxa"/>
            <w:left w:w="108" w:type="dxa"/>
            <w:bottom w:w="0" w:type="dxa"/>
            <w:right w:w="108" w:type="dxa"/>
          </w:tblCellMar>
        </w:tblPrEx>
        <w:trPr>
          <w:trHeight w:val="320" w:hRule="atLeast"/>
        </w:trPr>
        <w:tc>
          <w:tcPr>
            <w:tcW w:w="348"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single" w:color="auto" w:sz="8" w:space="0"/>
              <w:left w:val="nil"/>
              <w:bottom w:val="nil"/>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Coverage</w:t>
            </w:r>
          </w:p>
        </w:tc>
        <w:tc>
          <w:tcPr>
            <w:tcW w:w="105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0.79</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0.78</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53.5%</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87.6%</w:t>
            </w:r>
          </w:p>
        </w:tc>
        <w:tc>
          <w:tcPr>
            <w:tcW w:w="99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0.42</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0.92</w:t>
            </w:r>
          </w:p>
        </w:tc>
      </w:tr>
      <w:tr>
        <w:tblPrEx>
          <w:tblLayout w:type="fixed"/>
          <w:tblCellMar>
            <w:top w:w="0" w:type="dxa"/>
            <w:left w:w="108" w:type="dxa"/>
            <w:bottom w:w="0" w:type="dxa"/>
            <w:right w:w="108" w:type="dxa"/>
          </w:tblCellMar>
        </w:tblPrEx>
        <w:trPr>
          <w:trHeight w:val="320" w:hRule="atLeast"/>
        </w:trPr>
        <w:tc>
          <w:tcPr>
            <w:tcW w:w="348"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single" w:color="auto" w:sz="8" w:space="0"/>
              <w:left w:val="nil"/>
              <w:bottom w:val="single" w:color="auto" w:sz="18" w:space="0"/>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Xbar and Ybar</w:t>
            </w:r>
          </w:p>
        </w:tc>
        <w:tc>
          <w:tcPr>
            <w:tcW w:w="1053"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0.80</w:t>
            </w:r>
          </w:p>
        </w:tc>
        <w:tc>
          <w:tcPr>
            <w:tcW w:w="1133"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0.80</w:t>
            </w:r>
          </w:p>
        </w:tc>
        <w:tc>
          <w:tcPr>
            <w:tcW w:w="1133"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57.8%</w:t>
            </w:r>
          </w:p>
        </w:tc>
        <w:tc>
          <w:tcPr>
            <w:tcW w:w="1134"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87.4%</w:t>
            </w:r>
          </w:p>
        </w:tc>
        <w:tc>
          <w:tcPr>
            <w:tcW w:w="991"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0.43</w:t>
            </w:r>
          </w:p>
        </w:tc>
        <w:tc>
          <w:tcPr>
            <w:tcW w:w="894" w:type="dxa"/>
            <w:tcBorders>
              <w:top w:val="nil"/>
              <w:left w:val="nil"/>
              <w:bottom w:val="single" w:color="auto" w:sz="1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0.93</w:t>
            </w:r>
          </w:p>
        </w:tc>
      </w:tr>
      <w:tr>
        <w:tblPrEx>
          <w:tblLayout w:type="fixed"/>
          <w:tblCellMar>
            <w:top w:w="0" w:type="dxa"/>
            <w:left w:w="108" w:type="dxa"/>
            <w:bottom w:w="0" w:type="dxa"/>
            <w:right w:w="108" w:type="dxa"/>
          </w:tblCellMar>
        </w:tblPrEx>
        <w:trPr>
          <w:trHeight w:val="340" w:hRule="atLeast"/>
        </w:trPr>
        <w:tc>
          <w:tcPr>
            <w:tcW w:w="348" w:type="dxa"/>
            <w:vMerge w:val="restart"/>
            <w:tcBorders>
              <w:top w:val="single" w:color="auto" w:sz="18" w:space="0"/>
              <w:left w:val="single" w:color="auto" w:sz="8" w:space="0"/>
              <w:bottom w:val="single" w:color="auto" w:sz="18" w:space="0"/>
              <w:right w:val="single" w:color="auto" w:sz="8" w:space="0"/>
            </w:tcBorders>
            <w:shd w:val="clear" w:color="auto" w:fill="auto"/>
            <w:noWrap/>
            <w:textDirection w:val="btLr"/>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Common guillemot</w:t>
            </w:r>
          </w:p>
        </w:tc>
        <w:tc>
          <w:tcPr>
            <w:tcW w:w="1830" w:type="dxa"/>
            <w:tcBorders>
              <w:top w:val="single" w:color="auto" w:sz="18" w:space="0"/>
              <w:left w:val="nil"/>
              <w:bottom w:val="nil"/>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coverage, Xbar and Ybar</w:t>
            </w:r>
          </w:p>
        </w:tc>
        <w:tc>
          <w:tcPr>
            <w:tcW w:w="1053"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0.92</w:t>
            </w:r>
          </w:p>
        </w:tc>
        <w:tc>
          <w:tcPr>
            <w:tcW w:w="1133"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0.90</w:t>
            </w:r>
          </w:p>
        </w:tc>
        <w:tc>
          <w:tcPr>
            <w:tcW w:w="1133"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68.2%</w:t>
            </w:r>
          </w:p>
        </w:tc>
        <w:tc>
          <w:tcPr>
            <w:tcW w:w="1134"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92.1%</w:t>
            </w:r>
          </w:p>
        </w:tc>
        <w:tc>
          <w:tcPr>
            <w:tcW w:w="991"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0.67</w:t>
            </w:r>
          </w:p>
        </w:tc>
        <w:tc>
          <w:tcPr>
            <w:tcW w:w="894" w:type="dxa"/>
            <w:tcBorders>
              <w:top w:val="single" w:color="auto" w:sz="18" w:space="0"/>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0.93</w:t>
            </w:r>
          </w:p>
        </w:tc>
      </w:tr>
      <w:tr>
        <w:tblPrEx>
          <w:tblLayout w:type="fixed"/>
        </w:tblPrEx>
        <w:trPr>
          <w:trHeight w:val="320" w:hRule="atLeast"/>
        </w:trPr>
        <w:tc>
          <w:tcPr>
            <w:tcW w:w="348"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single" w:color="auto" w:sz="8" w:space="0"/>
              <w:left w:val="nil"/>
              <w:bottom w:val="nil"/>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Xbar and Ybar</w:t>
            </w:r>
          </w:p>
        </w:tc>
        <w:tc>
          <w:tcPr>
            <w:tcW w:w="105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0.89</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0.85</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60.4%</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89.5%</w:t>
            </w:r>
          </w:p>
        </w:tc>
        <w:tc>
          <w:tcPr>
            <w:tcW w:w="99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0.57</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0.91</w:t>
            </w:r>
          </w:p>
        </w:tc>
      </w:tr>
      <w:tr>
        <w:tblPrEx>
          <w:tblLayout w:type="fixed"/>
          <w:tblCellMar>
            <w:top w:w="0" w:type="dxa"/>
            <w:left w:w="108" w:type="dxa"/>
            <w:bottom w:w="0" w:type="dxa"/>
            <w:right w:w="108" w:type="dxa"/>
          </w:tblCellMar>
        </w:tblPrEx>
        <w:trPr>
          <w:trHeight w:val="320" w:hRule="atLeast"/>
        </w:trPr>
        <w:tc>
          <w:tcPr>
            <w:tcW w:w="348"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single" w:color="auto" w:sz="8" w:space="0"/>
              <w:left w:val="nil"/>
              <w:bottom w:val="single" w:color="auto" w:sz="12" w:space="0"/>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Coverage, Xbar and Ybar</w:t>
            </w:r>
          </w:p>
        </w:tc>
        <w:tc>
          <w:tcPr>
            <w:tcW w:w="105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0.89</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0.88</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63.7%</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93.3%</w:t>
            </w:r>
          </w:p>
        </w:tc>
        <w:tc>
          <w:tcPr>
            <w:tcW w:w="99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0.69</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0.92</w:t>
            </w:r>
          </w:p>
        </w:tc>
      </w:tr>
      <w:tr>
        <w:tblPrEx>
          <w:tblLayout w:type="fixed"/>
          <w:tblCellMar>
            <w:top w:w="0" w:type="dxa"/>
            <w:left w:w="108" w:type="dxa"/>
            <w:bottom w:w="0" w:type="dxa"/>
            <w:right w:w="108" w:type="dxa"/>
          </w:tblCellMar>
        </w:tblPrEx>
        <w:trPr>
          <w:trHeight w:val="340" w:hRule="atLeast"/>
        </w:trPr>
        <w:tc>
          <w:tcPr>
            <w:tcW w:w="348"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nil"/>
              <w:left w:val="nil"/>
              <w:bottom w:val="single" w:color="auto" w:sz="8" w:space="0"/>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and coverage</w:t>
            </w:r>
          </w:p>
        </w:tc>
        <w:tc>
          <w:tcPr>
            <w:tcW w:w="105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0.89</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0.88</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65.7%</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91.1%</w:t>
            </w:r>
          </w:p>
        </w:tc>
        <w:tc>
          <w:tcPr>
            <w:tcW w:w="99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0.63</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0.92</w:t>
            </w:r>
          </w:p>
        </w:tc>
      </w:tr>
      <w:tr>
        <w:tblPrEx>
          <w:tblLayout w:type="fixed"/>
          <w:tblCellMar>
            <w:top w:w="0" w:type="dxa"/>
            <w:left w:w="108" w:type="dxa"/>
            <w:bottom w:w="0" w:type="dxa"/>
            <w:right w:w="108" w:type="dxa"/>
          </w:tblCellMar>
        </w:tblPrEx>
        <w:trPr>
          <w:trHeight w:val="320" w:hRule="atLeast"/>
        </w:trPr>
        <w:tc>
          <w:tcPr>
            <w:tcW w:w="348"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nil"/>
              <w:left w:val="nil"/>
              <w:bottom w:val="nil"/>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 xml:space="preserve">Altitude </w:t>
            </w:r>
          </w:p>
        </w:tc>
        <w:tc>
          <w:tcPr>
            <w:tcW w:w="105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0.86</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0.83</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58.7%</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88.1%</w:t>
            </w:r>
          </w:p>
        </w:tc>
        <w:tc>
          <w:tcPr>
            <w:tcW w:w="99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0.53</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0.90</w:t>
            </w:r>
          </w:p>
        </w:tc>
      </w:tr>
      <w:tr>
        <w:tblPrEx>
          <w:tblLayout w:type="fixed"/>
          <w:tblCellMar>
            <w:top w:w="0" w:type="dxa"/>
            <w:left w:w="108" w:type="dxa"/>
            <w:bottom w:w="0" w:type="dxa"/>
            <w:right w:w="108" w:type="dxa"/>
          </w:tblCellMar>
        </w:tblPrEx>
        <w:trPr>
          <w:trHeight w:val="320" w:hRule="atLeast"/>
        </w:trPr>
        <w:tc>
          <w:tcPr>
            <w:tcW w:w="348"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single" w:color="auto" w:sz="8" w:space="0"/>
              <w:left w:val="nil"/>
              <w:bottom w:val="nil"/>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Coverage</w:t>
            </w:r>
          </w:p>
        </w:tc>
        <w:tc>
          <w:tcPr>
            <w:tcW w:w="105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0.85</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0.84</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64.9%</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88.8%</w:t>
            </w:r>
          </w:p>
        </w:tc>
        <w:tc>
          <w:tcPr>
            <w:tcW w:w="99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0.57</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0.92</w:t>
            </w:r>
          </w:p>
        </w:tc>
      </w:tr>
      <w:tr>
        <w:tblPrEx>
          <w:tblLayout w:type="fixed"/>
        </w:tblPrEx>
        <w:trPr>
          <w:trHeight w:val="320" w:hRule="atLeast"/>
        </w:trPr>
        <w:tc>
          <w:tcPr>
            <w:tcW w:w="348"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single" w:color="auto" w:sz="8" w:space="0"/>
              <w:left w:val="nil"/>
              <w:bottom w:val="single" w:color="auto" w:sz="18" w:space="0"/>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Xbar and Ybar</w:t>
            </w:r>
          </w:p>
        </w:tc>
        <w:tc>
          <w:tcPr>
            <w:tcW w:w="1053"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0.76</w:t>
            </w:r>
          </w:p>
        </w:tc>
        <w:tc>
          <w:tcPr>
            <w:tcW w:w="1133"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0.76</w:t>
            </w:r>
          </w:p>
        </w:tc>
        <w:tc>
          <w:tcPr>
            <w:tcW w:w="1133"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60.7%</w:t>
            </w:r>
          </w:p>
        </w:tc>
        <w:tc>
          <w:tcPr>
            <w:tcW w:w="1134"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76.5%</w:t>
            </w:r>
          </w:p>
        </w:tc>
        <w:tc>
          <w:tcPr>
            <w:tcW w:w="991"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0.38</w:t>
            </w:r>
          </w:p>
        </w:tc>
        <w:tc>
          <w:tcPr>
            <w:tcW w:w="894" w:type="dxa"/>
            <w:tcBorders>
              <w:top w:val="nil"/>
              <w:left w:val="nil"/>
              <w:bottom w:val="single" w:color="auto" w:sz="1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0.90</w:t>
            </w:r>
          </w:p>
        </w:tc>
      </w:tr>
      <w:tr>
        <w:tblPrEx>
          <w:tblLayout w:type="fixed"/>
          <w:tblCellMar>
            <w:top w:w="0" w:type="dxa"/>
            <w:left w:w="108" w:type="dxa"/>
            <w:bottom w:w="0" w:type="dxa"/>
            <w:right w:w="108" w:type="dxa"/>
          </w:tblCellMar>
        </w:tblPrEx>
        <w:trPr>
          <w:trHeight w:val="340" w:hRule="atLeast"/>
        </w:trPr>
        <w:tc>
          <w:tcPr>
            <w:tcW w:w="348" w:type="dxa"/>
            <w:vMerge w:val="restart"/>
            <w:tcBorders>
              <w:top w:val="single" w:color="auto" w:sz="18" w:space="0"/>
              <w:left w:val="single" w:color="auto" w:sz="8" w:space="0"/>
              <w:bottom w:val="single" w:color="000000" w:sz="8" w:space="0"/>
              <w:right w:val="single" w:color="auto" w:sz="8" w:space="0"/>
            </w:tcBorders>
            <w:shd w:val="clear" w:color="auto" w:fill="auto"/>
            <w:noWrap/>
            <w:textDirection w:val="btLr"/>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Razorbill</w:t>
            </w:r>
          </w:p>
        </w:tc>
        <w:tc>
          <w:tcPr>
            <w:tcW w:w="1830" w:type="dxa"/>
            <w:tcBorders>
              <w:top w:val="single" w:color="auto" w:sz="18" w:space="0"/>
              <w:left w:val="nil"/>
              <w:bottom w:val="single" w:color="auto" w:sz="12" w:space="0"/>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coverage, Xbar and Ybar</w:t>
            </w:r>
          </w:p>
        </w:tc>
        <w:tc>
          <w:tcPr>
            <w:tcW w:w="1053"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0.89</w:t>
            </w:r>
          </w:p>
        </w:tc>
        <w:tc>
          <w:tcPr>
            <w:tcW w:w="1133"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0.86</w:t>
            </w:r>
          </w:p>
        </w:tc>
        <w:tc>
          <w:tcPr>
            <w:tcW w:w="1133"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55.0%</w:t>
            </w:r>
          </w:p>
        </w:tc>
        <w:tc>
          <w:tcPr>
            <w:tcW w:w="1134"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91.1%</w:t>
            </w:r>
          </w:p>
        </w:tc>
        <w:tc>
          <w:tcPr>
            <w:tcW w:w="991"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0.51</w:t>
            </w:r>
          </w:p>
        </w:tc>
        <w:tc>
          <w:tcPr>
            <w:tcW w:w="894" w:type="dxa"/>
            <w:tcBorders>
              <w:top w:val="single" w:color="auto" w:sz="18" w:space="0"/>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0.92</w:t>
            </w:r>
          </w:p>
        </w:tc>
      </w:tr>
      <w:tr>
        <w:tblPrEx>
          <w:tblLayout w:type="fixed"/>
          <w:tblCellMar>
            <w:top w:w="0" w:type="dxa"/>
            <w:left w:w="108" w:type="dxa"/>
            <w:bottom w:w="0" w:type="dxa"/>
            <w:right w:w="108" w:type="dxa"/>
          </w:tblCellMar>
        </w:tblPrEx>
        <w:trPr>
          <w:trHeight w:val="340" w:hRule="atLeast"/>
        </w:trPr>
        <w:tc>
          <w:tcPr>
            <w:tcW w:w="348" w:type="dxa"/>
            <w:vMerge w:val="continue"/>
            <w:tcBorders>
              <w:top w:val="nil"/>
              <w:left w:val="single" w:color="auto" w:sz="8" w:space="0"/>
              <w:bottom w:val="single" w:color="000000" w:sz="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nil"/>
              <w:left w:val="nil"/>
              <w:bottom w:val="single" w:color="auto" w:sz="8" w:space="0"/>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Xbar and Ybar</w:t>
            </w:r>
          </w:p>
        </w:tc>
        <w:tc>
          <w:tcPr>
            <w:tcW w:w="105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0.81</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0.79</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57.3%</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82.0%</w:t>
            </w:r>
          </w:p>
        </w:tc>
        <w:tc>
          <w:tcPr>
            <w:tcW w:w="99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0.35</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0.92</w:t>
            </w:r>
          </w:p>
        </w:tc>
      </w:tr>
      <w:tr>
        <w:tblPrEx>
          <w:tblLayout w:type="fixed"/>
          <w:tblCellMar>
            <w:top w:w="0" w:type="dxa"/>
            <w:left w:w="108" w:type="dxa"/>
            <w:bottom w:w="0" w:type="dxa"/>
            <w:right w:w="108" w:type="dxa"/>
          </w:tblCellMar>
        </w:tblPrEx>
        <w:trPr>
          <w:trHeight w:val="320" w:hRule="atLeast"/>
        </w:trPr>
        <w:tc>
          <w:tcPr>
            <w:tcW w:w="348" w:type="dxa"/>
            <w:vMerge w:val="continue"/>
            <w:tcBorders>
              <w:top w:val="nil"/>
              <w:left w:val="single" w:color="auto" w:sz="8" w:space="0"/>
              <w:bottom w:val="single" w:color="000000" w:sz="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nil"/>
              <w:left w:val="nil"/>
              <w:bottom w:val="single" w:color="auto" w:sz="12" w:space="0"/>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Coverage, Xbar and Ybar</w:t>
            </w:r>
          </w:p>
        </w:tc>
        <w:tc>
          <w:tcPr>
            <w:tcW w:w="105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0.83</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0.81</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47.5%</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92.0%</w:t>
            </w:r>
          </w:p>
        </w:tc>
        <w:tc>
          <w:tcPr>
            <w:tcW w:w="99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0.50</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0.91</w:t>
            </w:r>
          </w:p>
        </w:tc>
      </w:tr>
      <w:tr>
        <w:tblPrEx>
          <w:tblLayout w:type="fixed"/>
          <w:tblCellMar>
            <w:top w:w="0" w:type="dxa"/>
            <w:left w:w="108" w:type="dxa"/>
            <w:bottom w:w="0" w:type="dxa"/>
            <w:right w:w="108" w:type="dxa"/>
          </w:tblCellMar>
        </w:tblPrEx>
        <w:trPr>
          <w:trHeight w:val="340" w:hRule="atLeast"/>
        </w:trPr>
        <w:tc>
          <w:tcPr>
            <w:tcW w:w="348" w:type="dxa"/>
            <w:vMerge w:val="continue"/>
            <w:tcBorders>
              <w:top w:val="nil"/>
              <w:left w:val="single" w:color="auto" w:sz="8" w:space="0"/>
              <w:bottom w:val="single" w:color="000000" w:sz="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nil"/>
              <w:left w:val="nil"/>
              <w:bottom w:val="single" w:color="auto" w:sz="8" w:space="0"/>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and coverage</w:t>
            </w:r>
          </w:p>
        </w:tc>
        <w:tc>
          <w:tcPr>
            <w:tcW w:w="105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0.77</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0.76</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43.3%</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88.0%</w:t>
            </w:r>
          </w:p>
        </w:tc>
        <w:tc>
          <w:tcPr>
            <w:tcW w:w="99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0.38</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0.90</w:t>
            </w:r>
          </w:p>
        </w:tc>
      </w:tr>
      <w:tr>
        <w:tblPrEx>
          <w:tblLayout w:type="fixed"/>
        </w:tblPrEx>
        <w:trPr>
          <w:trHeight w:val="320" w:hRule="atLeast"/>
        </w:trPr>
        <w:tc>
          <w:tcPr>
            <w:tcW w:w="348" w:type="dxa"/>
            <w:vMerge w:val="continue"/>
            <w:tcBorders>
              <w:top w:val="nil"/>
              <w:left w:val="single" w:color="auto" w:sz="8" w:space="0"/>
              <w:bottom w:val="single" w:color="000000" w:sz="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nil"/>
              <w:left w:val="nil"/>
              <w:bottom w:val="nil"/>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 xml:space="preserve">Altitude </w:t>
            </w:r>
          </w:p>
        </w:tc>
        <w:tc>
          <w:tcPr>
            <w:tcW w:w="105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0.68</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0.67</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65.4%</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60.5%</w:t>
            </w:r>
          </w:p>
        </w:tc>
        <w:tc>
          <w:tcPr>
            <w:tcW w:w="99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0.22</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0.91</w:t>
            </w:r>
          </w:p>
        </w:tc>
      </w:tr>
      <w:tr>
        <w:tblPrEx>
          <w:tblLayout w:type="fixed"/>
          <w:tblCellMar>
            <w:top w:w="0" w:type="dxa"/>
            <w:left w:w="108" w:type="dxa"/>
            <w:bottom w:w="0" w:type="dxa"/>
            <w:right w:w="108" w:type="dxa"/>
          </w:tblCellMar>
        </w:tblPrEx>
        <w:trPr>
          <w:trHeight w:val="320" w:hRule="atLeast"/>
        </w:trPr>
        <w:tc>
          <w:tcPr>
            <w:tcW w:w="348" w:type="dxa"/>
            <w:vMerge w:val="continue"/>
            <w:tcBorders>
              <w:top w:val="nil"/>
              <w:left w:val="single" w:color="auto" w:sz="8" w:space="0"/>
              <w:bottom w:val="single" w:color="000000" w:sz="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single" w:color="auto" w:sz="8" w:space="0"/>
              <w:left w:val="nil"/>
              <w:bottom w:val="nil"/>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Coverage</w:t>
            </w:r>
          </w:p>
        </w:tc>
        <w:tc>
          <w:tcPr>
            <w:tcW w:w="105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0.68</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0.67</w:t>
            </w:r>
          </w:p>
        </w:tc>
        <w:tc>
          <w:tcPr>
            <w:tcW w:w="1133"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40.1%</w:t>
            </w:r>
          </w:p>
        </w:tc>
        <w:tc>
          <w:tcPr>
            <w:tcW w:w="1134"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85.6%</w:t>
            </w:r>
          </w:p>
        </w:tc>
        <w:tc>
          <w:tcPr>
            <w:tcW w:w="991"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0.32</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0.90</w:t>
            </w:r>
          </w:p>
        </w:tc>
      </w:tr>
      <w:tr>
        <w:tblPrEx>
          <w:tblLayout w:type="fixed"/>
          <w:tblCellMar>
            <w:top w:w="0" w:type="dxa"/>
            <w:left w:w="108" w:type="dxa"/>
            <w:bottom w:w="0" w:type="dxa"/>
            <w:right w:w="108" w:type="dxa"/>
          </w:tblCellMar>
        </w:tblPrEx>
        <w:trPr>
          <w:trHeight w:val="320" w:hRule="atLeast"/>
        </w:trPr>
        <w:tc>
          <w:tcPr>
            <w:tcW w:w="348" w:type="dxa"/>
            <w:vMerge w:val="continue"/>
            <w:tcBorders>
              <w:top w:val="nil"/>
              <w:left w:val="single" w:color="auto" w:sz="8" w:space="0"/>
              <w:bottom w:val="single" w:color="000000" w:sz="8" w:space="0"/>
              <w:right w:val="single" w:color="auto" w:sz="8" w:space="0"/>
            </w:tcBorders>
            <w:vAlign w:val="center"/>
          </w:tcPr>
          <w:p>
            <w:pPr>
              <w:rPr>
                <w:rFonts w:ascii="Arial" w:hAnsi="Arial" w:eastAsia="Times New Roman" w:cs="Arial"/>
                <w:b/>
                <w:bCs/>
                <w:color w:val="000000"/>
                <w:sz w:val="18"/>
                <w:szCs w:val="18"/>
              </w:rPr>
            </w:pPr>
          </w:p>
        </w:tc>
        <w:tc>
          <w:tcPr>
            <w:tcW w:w="1830" w:type="dxa"/>
            <w:tcBorders>
              <w:top w:val="single" w:color="auto" w:sz="8" w:space="0"/>
              <w:left w:val="nil"/>
              <w:bottom w:val="single" w:color="auto" w:sz="8" w:space="0"/>
              <w:right w:val="single" w:color="auto" w:sz="12"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Xbar and Ybar</w:t>
            </w:r>
          </w:p>
        </w:tc>
        <w:tc>
          <w:tcPr>
            <w:tcW w:w="1053"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0.73</w:t>
            </w:r>
          </w:p>
        </w:tc>
        <w:tc>
          <w:tcPr>
            <w:tcW w:w="1133"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0.71</w:t>
            </w:r>
          </w:p>
        </w:tc>
        <w:tc>
          <w:tcPr>
            <w:tcW w:w="1133"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49.4%</w:t>
            </w:r>
          </w:p>
        </w:tc>
        <w:tc>
          <w:tcPr>
            <w:tcW w:w="1134"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82.9%</w:t>
            </w:r>
          </w:p>
        </w:tc>
        <w:tc>
          <w:tcPr>
            <w:tcW w:w="991"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0.33</w:t>
            </w:r>
          </w:p>
        </w:tc>
        <w:tc>
          <w:tcPr>
            <w:tcW w:w="894" w:type="dxa"/>
            <w:tcBorders>
              <w:top w:val="nil"/>
              <w:left w:val="nil"/>
              <w:bottom w:val="single" w:color="auto"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0.91</w:t>
            </w:r>
          </w:p>
        </w:tc>
      </w:tr>
    </w:tbl>
    <w:p>
      <w:pPr>
        <w:pStyle w:val="3"/>
        <w:keepNext/>
        <w:rPr>
          <w:rFonts w:ascii="Arial" w:hAnsi="Arial"/>
          <w:u w:val="single"/>
        </w:rPr>
      </w:pPr>
      <w:r>
        <w:rPr>
          <w:rFonts w:ascii="Arial" w:hAnsi="Arial"/>
          <w:u w:val="single"/>
        </w:rPr>
        <w:br w:type="page"/>
      </w:r>
    </w:p>
    <w:p>
      <w:pPr>
        <w:pStyle w:val="3"/>
        <w:keepNext/>
        <w:rPr>
          <w:rFonts w:ascii="Arial" w:hAnsi="Arial"/>
          <w:b w:val="0"/>
          <w:color w:val="auto"/>
          <w:sz w:val="20"/>
          <w:u w:val="single"/>
        </w:rPr>
      </w:pPr>
      <w:r>
        <w:rPr>
          <w:rFonts w:ascii="Arial" w:hAnsi="Arial"/>
          <w:b w:val="0"/>
          <w:color w:val="auto"/>
          <w:sz w:val="20"/>
          <w:u w:val="single"/>
        </w:rPr>
        <w:t>Appendix S6: The mean results of models using leave one out cross validation.</w:t>
      </w:r>
    </w:p>
    <w:p>
      <w:pPr>
        <w:pStyle w:val="3"/>
        <w:keepNext/>
        <w:rPr>
          <w:rFonts w:ascii="Arial" w:hAnsi="Arial" w:cs="Arial"/>
          <w:color w:val="auto"/>
        </w:rPr>
      </w:pPr>
      <w:r>
        <w:rPr>
          <w:rFonts w:ascii="Arial" w:hAnsi="Arial" w:cs="Arial"/>
          <w:color w:val="auto"/>
        </w:rPr>
        <w:t>Table S6.1: The results of the leave one bird out cross validation of each model for European shags, common guillemots and razorbills. PPV is the positive predicted value; NPV is the negative predictive value.</w:t>
      </w:r>
    </w:p>
    <w:tbl>
      <w:tblPr>
        <w:tblStyle w:val="11"/>
        <w:tblW w:w="8516" w:type="dxa"/>
        <w:tblInd w:w="0" w:type="dxa"/>
        <w:tblLayout w:type="fixed"/>
        <w:tblCellMar>
          <w:top w:w="0" w:type="dxa"/>
          <w:left w:w="108" w:type="dxa"/>
          <w:bottom w:w="0" w:type="dxa"/>
          <w:right w:w="108" w:type="dxa"/>
        </w:tblCellMar>
      </w:tblPr>
      <w:tblGrid>
        <w:gridCol w:w="343"/>
        <w:gridCol w:w="1818"/>
        <w:gridCol w:w="1067"/>
        <w:gridCol w:w="826"/>
        <w:gridCol w:w="307"/>
        <w:gridCol w:w="1134"/>
        <w:gridCol w:w="249"/>
        <w:gridCol w:w="1030"/>
        <w:gridCol w:w="848"/>
        <w:gridCol w:w="894"/>
      </w:tblGrid>
      <w:tr>
        <w:tblPrEx>
          <w:tblLayout w:type="fixed"/>
          <w:tblCellMar>
            <w:top w:w="0" w:type="dxa"/>
            <w:left w:w="108" w:type="dxa"/>
            <w:bottom w:w="0" w:type="dxa"/>
            <w:right w:w="108" w:type="dxa"/>
          </w:tblCellMar>
        </w:tblPrEx>
        <w:trPr>
          <w:trHeight w:val="734" w:hRule="atLeast"/>
        </w:trPr>
        <w:tc>
          <w:tcPr>
            <w:tcW w:w="343" w:type="dxa"/>
            <w:tcBorders>
              <w:top w:val="single" w:color="auto" w:sz="8" w:space="0"/>
              <w:left w:val="single" w:color="auto" w:sz="8" w:space="0"/>
              <w:bottom w:val="single" w:color="auto" w:sz="18" w:space="0"/>
              <w:right w:val="single" w:color="auto" w:sz="8" w:space="0"/>
            </w:tcBorders>
            <w:shd w:val="clear" w:color="auto" w:fill="auto"/>
            <w:noWrap/>
            <w:vAlign w:val="center"/>
          </w:tcPr>
          <w:p>
            <w:pPr>
              <w:rPr>
                <w:rFonts w:ascii="Cambria" w:hAnsi="Cambria" w:eastAsia="Times New Roman" w:cs="Times New Roman"/>
                <w:color w:val="000000"/>
              </w:rPr>
            </w:pPr>
            <w:r>
              <w:rPr>
                <w:rFonts w:ascii="Cambria" w:hAnsi="Cambria" w:eastAsia="Times New Roman" w:cs="Times New Roman"/>
                <w:color w:val="000000"/>
              </w:rPr>
              <w:t> </w:t>
            </w:r>
          </w:p>
        </w:tc>
        <w:tc>
          <w:tcPr>
            <w:tcW w:w="1818" w:type="dxa"/>
            <w:tcBorders>
              <w:top w:val="single" w:color="auto" w:sz="8" w:space="0"/>
              <w:left w:val="single" w:color="auto" w:sz="8" w:space="0"/>
              <w:bottom w:val="single" w:color="auto" w:sz="18" w:space="0"/>
              <w:right w:val="single" w:color="auto" w:sz="8" w:space="0"/>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Model Inputs</w:t>
            </w:r>
          </w:p>
        </w:tc>
        <w:tc>
          <w:tcPr>
            <w:tcW w:w="1067" w:type="dxa"/>
            <w:tcBorders>
              <w:top w:val="single" w:color="auto" w:sz="8" w:space="0"/>
              <w:left w:val="single" w:color="auto" w:sz="8" w:space="0"/>
              <w:bottom w:val="single" w:color="auto" w:sz="18" w:space="0"/>
              <w:right w:val="nil"/>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Training AUC</w:t>
            </w:r>
          </w:p>
        </w:tc>
        <w:tc>
          <w:tcPr>
            <w:tcW w:w="1133" w:type="dxa"/>
            <w:gridSpan w:val="2"/>
            <w:tcBorders>
              <w:top w:val="single" w:color="auto" w:sz="8" w:space="0"/>
              <w:left w:val="nil"/>
              <w:bottom w:val="single" w:color="auto" w:sz="18" w:space="0"/>
              <w:right w:val="nil"/>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Validation AUC</w:t>
            </w:r>
          </w:p>
        </w:tc>
        <w:tc>
          <w:tcPr>
            <w:tcW w:w="1134" w:type="dxa"/>
            <w:tcBorders>
              <w:top w:val="single" w:color="auto" w:sz="8" w:space="0"/>
              <w:left w:val="nil"/>
              <w:bottom w:val="single" w:color="auto" w:sz="18" w:space="0"/>
              <w:right w:val="nil"/>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Sensitivity</w:t>
            </w:r>
          </w:p>
          <w:p>
            <w:pPr>
              <w:jc w:val="center"/>
              <w:rPr>
                <w:rFonts w:ascii="Arial" w:hAnsi="Arial" w:eastAsia="Times New Roman" w:cs="Arial"/>
                <w:b/>
                <w:bCs/>
                <w:color w:val="000000"/>
                <w:sz w:val="18"/>
                <w:szCs w:val="18"/>
              </w:rPr>
            </w:pPr>
            <w:r>
              <w:rPr>
                <w:rFonts w:ascii="Arial" w:hAnsi="Arial" w:eastAsia="Times New Roman" w:cs="Arial"/>
                <w:color w:val="000000"/>
                <w:sz w:val="18"/>
                <w:szCs w:val="18"/>
              </w:rPr>
              <w:t>(% of correctly predicted dives)</w:t>
            </w:r>
          </w:p>
        </w:tc>
        <w:tc>
          <w:tcPr>
            <w:tcW w:w="1279" w:type="dxa"/>
            <w:gridSpan w:val="2"/>
            <w:tcBorders>
              <w:top w:val="single" w:color="auto" w:sz="8" w:space="0"/>
              <w:left w:val="nil"/>
              <w:bottom w:val="single" w:color="auto" w:sz="18" w:space="0"/>
              <w:right w:val="nil"/>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Specificity</w:t>
            </w:r>
          </w:p>
          <w:p>
            <w:pPr>
              <w:jc w:val="center"/>
              <w:rPr>
                <w:rFonts w:ascii="Arial" w:hAnsi="Arial" w:eastAsia="Times New Roman" w:cs="Arial"/>
                <w:b/>
                <w:bCs/>
                <w:color w:val="000000"/>
                <w:sz w:val="18"/>
                <w:szCs w:val="18"/>
              </w:rPr>
            </w:pPr>
            <w:r>
              <w:rPr>
                <w:rFonts w:ascii="Arial" w:hAnsi="Arial" w:eastAsia="Times New Roman" w:cs="Arial"/>
                <w:color w:val="000000"/>
                <w:sz w:val="18"/>
                <w:szCs w:val="18"/>
              </w:rPr>
              <w:t>(% of correctly predicted non-dives)</w:t>
            </w:r>
          </w:p>
        </w:tc>
        <w:tc>
          <w:tcPr>
            <w:tcW w:w="848" w:type="dxa"/>
            <w:tcBorders>
              <w:top w:val="single" w:color="auto" w:sz="8" w:space="0"/>
              <w:left w:val="nil"/>
              <w:bottom w:val="single" w:color="auto" w:sz="18" w:space="0"/>
              <w:right w:val="nil"/>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PPV</w:t>
            </w:r>
          </w:p>
        </w:tc>
        <w:tc>
          <w:tcPr>
            <w:tcW w:w="894" w:type="dxa"/>
            <w:tcBorders>
              <w:top w:val="single" w:color="auto" w:sz="8" w:space="0"/>
              <w:left w:val="nil"/>
              <w:bottom w:val="single" w:color="auto" w:sz="18" w:space="0"/>
              <w:right w:val="single" w:color="auto" w:sz="8" w:space="0"/>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NPV</w:t>
            </w:r>
          </w:p>
        </w:tc>
      </w:tr>
      <w:tr>
        <w:tblPrEx>
          <w:tblLayout w:type="fixed"/>
          <w:tblCellMar>
            <w:top w:w="0" w:type="dxa"/>
            <w:left w:w="108" w:type="dxa"/>
            <w:bottom w:w="0" w:type="dxa"/>
            <w:right w:w="108" w:type="dxa"/>
          </w:tblCellMar>
        </w:tblPrEx>
        <w:trPr>
          <w:trHeight w:val="340" w:hRule="atLeast"/>
        </w:trPr>
        <w:tc>
          <w:tcPr>
            <w:tcW w:w="343" w:type="dxa"/>
            <w:vMerge w:val="restart"/>
            <w:tcBorders>
              <w:top w:val="single" w:color="auto" w:sz="18" w:space="0"/>
              <w:left w:val="single" w:color="auto" w:sz="8" w:space="0"/>
              <w:bottom w:val="single" w:color="auto" w:sz="18" w:space="0"/>
              <w:right w:val="single" w:color="auto" w:sz="8" w:space="0"/>
            </w:tcBorders>
            <w:shd w:val="clear" w:color="auto" w:fill="auto"/>
            <w:noWrap/>
            <w:textDirection w:val="btLr"/>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European shag</w:t>
            </w:r>
          </w:p>
        </w:tc>
        <w:tc>
          <w:tcPr>
            <w:tcW w:w="1818" w:type="dxa"/>
            <w:tcBorders>
              <w:top w:val="single" w:color="auto" w:sz="18" w:space="0"/>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coverage, Xbar and Ybar</w:t>
            </w:r>
          </w:p>
        </w:tc>
        <w:tc>
          <w:tcPr>
            <w:tcW w:w="1067"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0.93</w:t>
            </w:r>
          </w:p>
        </w:tc>
        <w:tc>
          <w:tcPr>
            <w:tcW w:w="826"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0.87</w:t>
            </w:r>
          </w:p>
        </w:tc>
        <w:tc>
          <w:tcPr>
            <w:tcW w:w="1690" w:type="dxa"/>
            <w:gridSpan w:val="3"/>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63.4%</w:t>
            </w:r>
          </w:p>
        </w:tc>
        <w:tc>
          <w:tcPr>
            <w:tcW w:w="1030"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93.6%</w:t>
            </w:r>
          </w:p>
        </w:tc>
        <w:tc>
          <w:tcPr>
            <w:tcW w:w="848"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0.59</w:t>
            </w:r>
          </w:p>
        </w:tc>
        <w:tc>
          <w:tcPr>
            <w:tcW w:w="894" w:type="dxa"/>
            <w:tcBorders>
              <w:top w:val="single" w:color="auto" w:sz="18" w:space="0"/>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0.95</w:t>
            </w:r>
          </w:p>
        </w:tc>
      </w:tr>
      <w:tr>
        <w:tblPrEx>
          <w:tblLayout w:type="fixed"/>
          <w:tblCellMar>
            <w:top w:w="0" w:type="dxa"/>
            <w:left w:w="108" w:type="dxa"/>
            <w:bottom w:w="0" w:type="dxa"/>
            <w:right w:w="108" w:type="dxa"/>
          </w:tblCellMar>
        </w:tblPrEx>
        <w:trPr>
          <w:trHeight w:val="320" w:hRule="atLeast"/>
        </w:trPr>
        <w:tc>
          <w:tcPr>
            <w:tcW w:w="343"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Xbar and Ybar</w:t>
            </w:r>
          </w:p>
        </w:tc>
        <w:tc>
          <w:tcPr>
            <w:tcW w:w="106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0.91</w:t>
            </w:r>
          </w:p>
        </w:tc>
        <w:tc>
          <w:tcPr>
            <w:tcW w:w="82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0.88</w:t>
            </w:r>
          </w:p>
        </w:tc>
        <w:tc>
          <w:tcPr>
            <w:tcW w:w="1690" w:type="dxa"/>
            <w:gridSpan w:val="3"/>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62.1%</w:t>
            </w:r>
          </w:p>
        </w:tc>
        <w:tc>
          <w:tcPr>
            <w:tcW w:w="1030"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93.4%</w:t>
            </w:r>
          </w:p>
        </w:tc>
        <w:tc>
          <w:tcPr>
            <w:tcW w:w="84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0.58</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0.95</w:t>
            </w:r>
          </w:p>
        </w:tc>
      </w:tr>
      <w:tr>
        <w:tblPrEx>
          <w:tblLayout w:type="fixed"/>
          <w:tblCellMar>
            <w:top w:w="0" w:type="dxa"/>
            <w:left w:w="108" w:type="dxa"/>
            <w:bottom w:w="0" w:type="dxa"/>
            <w:right w:w="108" w:type="dxa"/>
          </w:tblCellMar>
        </w:tblPrEx>
        <w:trPr>
          <w:trHeight w:val="320" w:hRule="atLeast"/>
        </w:trPr>
        <w:tc>
          <w:tcPr>
            <w:tcW w:w="343"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Coverage, Xbar and Ybar</w:t>
            </w:r>
          </w:p>
        </w:tc>
        <w:tc>
          <w:tcPr>
            <w:tcW w:w="106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0.86</w:t>
            </w:r>
          </w:p>
        </w:tc>
        <w:tc>
          <w:tcPr>
            <w:tcW w:w="82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0.83</w:t>
            </w:r>
          </w:p>
        </w:tc>
        <w:tc>
          <w:tcPr>
            <w:tcW w:w="1690" w:type="dxa"/>
            <w:gridSpan w:val="3"/>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60.4%</w:t>
            </w:r>
          </w:p>
        </w:tc>
        <w:tc>
          <w:tcPr>
            <w:tcW w:w="1030"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90.1%</w:t>
            </w:r>
          </w:p>
        </w:tc>
        <w:tc>
          <w:tcPr>
            <w:tcW w:w="84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0.48</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0.94</w:t>
            </w:r>
          </w:p>
        </w:tc>
      </w:tr>
      <w:tr>
        <w:tblPrEx>
          <w:tblLayout w:type="fixed"/>
        </w:tblPrEx>
        <w:trPr>
          <w:trHeight w:val="320" w:hRule="atLeast"/>
        </w:trPr>
        <w:tc>
          <w:tcPr>
            <w:tcW w:w="343"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coverage</w:t>
            </w:r>
          </w:p>
        </w:tc>
        <w:tc>
          <w:tcPr>
            <w:tcW w:w="106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0.88</w:t>
            </w:r>
          </w:p>
        </w:tc>
        <w:tc>
          <w:tcPr>
            <w:tcW w:w="82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0.86</w:t>
            </w:r>
          </w:p>
        </w:tc>
        <w:tc>
          <w:tcPr>
            <w:tcW w:w="1690" w:type="dxa"/>
            <w:gridSpan w:val="3"/>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59.6%</w:t>
            </w:r>
          </w:p>
        </w:tc>
        <w:tc>
          <w:tcPr>
            <w:tcW w:w="1030"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91.7%</w:t>
            </w:r>
          </w:p>
        </w:tc>
        <w:tc>
          <w:tcPr>
            <w:tcW w:w="84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0.52</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0.94</w:t>
            </w:r>
          </w:p>
        </w:tc>
      </w:tr>
      <w:tr>
        <w:tblPrEx>
          <w:tblLayout w:type="fixed"/>
          <w:tblCellMar>
            <w:top w:w="0" w:type="dxa"/>
            <w:left w:w="108" w:type="dxa"/>
            <w:bottom w:w="0" w:type="dxa"/>
            <w:right w:w="108" w:type="dxa"/>
          </w:tblCellMar>
        </w:tblPrEx>
        <w:trPr>
          <w:trHeight w:val="320" w:hRule="atLeast"/>
        </w:trPr>
        <w:tc>
          <w:tcPr>
            <w:tcW w:w="343"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w:t>
            </w:r>
          </w:p>
        </w:tc>
        <w:tc>
          <w:tcPr>
            <w:tcW w:w="106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0.81</w:t>
            </w:r>
          </w:p>
        </w:tc>
        <w:tc>
          <w:tcPr>
            <w:tcW w:w="82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0.80</w:t>
            </w:r>
          </w:p>
        </w:tc>
        <w:tc>
          <w:tcPr>
            <w:tcW w:w="1690" w:type="dxa"/>
            <w:gridSpan w:val="3"/>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54.6%</w:t>
            </w:r>
          </w:p>
        </w:tc>
        <w:tc>
          <w:tcPr>
            <w:tcW w:w="1030"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89.8%</w:t>
            </w:r>
          </w:p>
        </w:tc>
        <w:tc>
          <w:tcPr>
            <w:tcW w:w="84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0.44</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0.94</w:t>
            </w:r>
          </w:p>
        </w:tc>
      </w:tr>
      <w:tr>
        <w:tblPrEx>
          <w:tblLayout w:type="fixed"/>
          <w:tblCellMar>
            <w:top w:w="0" w:type="dxa"/>
            <w:left w:w="108" w:type="dxa"/>
            <w:bottom w:w="0" w:type="dxa"/>
            <w:right w:w="108" w:type="dxa"/>
          </w:tblCellMar>
        </w:tblPrEx>
        <w:trPr>
          <w:trHeight w:val="320" w:hRule="atLeast"/>
        </w:trPr>
        <w:tc>
          <w:tcPr>
            <w:tcW w:w="343"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Coverage</w:t>
            </w:r>
          </w:p>
        </w:tc>
        <w:tc>
          <w:tcPr>
            <w:tcW w:w="106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0.78</w:t>
            </w:r>
          </w:p>
        </w:tc>
        <w:tc>
          <w:tcPr>
            <w:tcW w:w="82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0.75</w:t>
            </w:r>
          </w:p>
        </w:tc>
        <w:tc>
          <w:tcPr>
            <w:tcW w:w="1690" w:type="dxa"/>
            <w:gridSpan w:val="3"/>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56.1%</w:t>
            </w:r>
          </w:p>
        </w:tc>
        <w:tc>
          <w:tcPr>
            <w:tcW w:w="1030"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85.1%</w:t>
            </w:r>
          </w:p>
        </w:tc>
        <w:tc>
          <w:tcPr>
            <w:tcW w:w="84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0.38</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0.93</w:t>
            </w:r>
          </w:p>
        </w:tc>
      </w:tr>
      <w:tr>
        <w:tblPrEx>
          <w:tblLayout w:type="fixed"/>
          <w:tblCellMar>
            <w:top w:w="0" w:type="dxa"/>
            <w:left w:w="108" w:type="dxa"/>
            <w:bottom w:w="0" w:type="dxa"/>
            <w:right w:w="108" w:type="dxa"/>
          </w:tblCellMar>
        </w:tblPrEx>
        <w:trPr>
          <w:trHeight w:val="320" w:hRule="atLeast"/>
        </w:trPr>
        <w:tc>
          <w:tcPr>
            <w:tcW w:w="343"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1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Xbar and Ybar</w:t>
            </w:r>
          </w:p>
        </w:tc>
        <w:tc>
          <w:tcPr>
            <w:tcW w:w="1067"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0.73</w:t>
            </w:r>
          </w:p>
        </w:tc>
        <w:tc>
          <w:tcPr>
            <w:tcW w:w="826"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0.74</w:t>
            </w:r>
          </w:p>
        </w:tc>
        <w:tc>
          <w:tcPr>
            <w:tcW w:w="1690" w:type="dxa"/>
            <w:gridSpan w:val="3"/>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56.2%</w:t>
            </w:r>
          </w:p>
        </w:tc>
        <w:tc>
          <w:tcPr>
            <w:tcW w:w="1030"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89.1%</w:t>
            </w:r>
          </w:p>
        </w:tc>
        <w:tc>
          <w:tcPr>
            <w:tcW w:w="848"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0.44</w:t>
            </w:r>
          </w:p>
        </w:tc>
        <w:tc>
          <w:tcPr>
            <w:tcW w:w="894" w:type="dxa"/>
            <w:tcBorders>
              <w:top w:val="nil"/>
              <w:left w:val="nil"/>
              <w:bottom w:val="single" w:color="auto" w:sz="1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0.93</w:t>
            </w:r>
          </w:p>
        </w:tc>
      </w:tr>
      <w:tr>
        <w:tblPrEx>
          <w:tblLayout w:type="fixed"/>
          <w:tblCellMar>
            <w:top w:w="0" w:type="dxa"/>
            <w:left w:w="108" w:type="dxa"/>
            <w:bottom w:w="0" w:type="dxa"/>
            <w:right w:w="108" w:type="dxa"/>
          </w:tblCellMar>
        </w:tblPrEx>
        <w:trPr>
          <w:trHeight w:val="340" w:hRule="atLeast"/>
        </w:trPr>
        <w:tc>
          <w:tcPr>
            <w:tcW w:w="343" w:type="dxa"/>
            <w:vMerge w:val="restart"/>
            <w:tcBorders>
              <w:top w:val="single" w:color="auto" w:sz="18" w:space="0"/>
              <w:left w:val="single" w:color="auto" w:sz="8" w:space="0"/>
              <w:bottom w:val="single" w:color="auto" w:sz="18" w:space="0"/>
              <w:right w:val="single" w:color="auto" w:sz="8" w:space="0"/>
            </w:tcBorders>
            <w:shd w:val="clear" w:color="auto" w:fill="auto"/>
            <w:noWrap/>
            <w:textDirection w:val="btLr"/>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Common guillemot</w:t>
            </w:r>
          </w:p>
        </w:tc>
        <w:tc>
          <w:tcPr>
            <w:tcW w:w="1818" w:type="dxa"/>
            <w:tcBorders>
              <w:top w:val="single" w:color="auto" w:sz="18" w:space="0"/>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coverage, Xbar and Ybar</w:t>
            </w:r>
          </w:p>
        </w:tc>
        <w:tc>
          <w:tcPr>
            <w:tcW w:w="1067"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0.89</w:t>
            </w:r>
          </w:p>
        </w:tc>
        <w:tc>
          <w:tcPr>
            <w:tcW w:w="826"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0.87</w:t>
            </w:r>
          </w:p>
        </w:tc>
        <w:tc>
          <w:tcPr>
            <w:tcW w:w="1690" w:type="dxa"/>
            <w:gridSpan w:val="3"/>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66.3%</w:t>
            </w:r>
          </w:p>
        </w:tc>
        <w:tc>
          <w:tcPr>
            <w:tcW w:w="1030"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92.3%</w:t>
            </w:r>
          </w:p>
        </w:tc>
        <w:tc>
          <w:tcPr>
            <w:tcW w:w="848"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0.66</w:t>
            </w:r>
          </w:p>
        </w:tc>
        <w:tc>
          <w:tcPr>
            <w:tcW w:w="894" w:type="dxa"/>
            <w:tcBorders>
              <w:top w:val="single" w:color="auto" w:sz="18" w:space="0"/>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0.92</w:t>
            </w:r>
          </w:p>
        </w:tc>
      </w:tr>
      <w:tr>
        <w:tblPrEx>
          <w:tblLayout w:type="fixed"/>
        </w:tblPrEx>
        <w:trPr>
          <w:trHeight w:val="320" w:hRule="atLeast"/>
        </w:trPr>
        <w:tc>
          <w:tcPr>
            <w:tcW w:w="343"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Xbar and Ybar</w:t>
            </w:r>
          </w:p>
        </w:tc>
        <w:tc>
          <w:tcPr>
            <w:tcW w:w="106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0.87</w:t>
            </w:r>
          </w:p>
        </w:tc>
        <w:tc>
          <w:tcPr>
            <w:tcW w:w="82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0.84</w:t>
            </w:r>
          </w:p>
        </w:tc>
        <w:tc>
          <w:tcPr>
            <w:tcW w:w="1690" w:type="dxa"/>
            <w:gridSpan w:val="3"/>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61.4%</w:t>
            </w:r>
          </w:p>
        </w:tc>
        <w:tc>
          <w:tcPr>
            <w:tcW w:w="1030"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88.5%</w:t>
            </w:r>
          </w:p>
        </w:tc>
        <w:tc>
          <w:tcPr>
            <w:tcW w:w="84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0.58</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0.92</w:t>
            </w:r>
          </w:p>
        </w:tc>
      </w:tr>
      <w:tr>
        <w:tblPrEx>
          <w:tblLayout w:type="fixed"/>
          <w:tblCellMar>
            <w:top w:w="0" w:type="dxa"/>
            <w:left w:w="108" w:type="dxa"/>
            <w:bottom w:w="0" w:type="dxa"/>
            <w:right w:w="108" w:type="dxa"/>
          </w:tblCellMar>
        </w:tblPrEx>
        <w:trPr>
          <w:trHeight w:val="320" w:hRule="atLeast"/>
        </w:trPr>
        <w:tc>
          <w:tcPr>
            <w:tcW w:w="343"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Coverage, Xbar and Ybar</w:t>
            </w:r>
          </w:p>
        </w:tc>
        <w:tc>
          <w:tcPr>
            <w:tcW w:w="106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0.87</w:t>
            </w:r>
          </w:p>
        </w:tc>
        <w:tc>
          <w:tcPr>
            <w:tcW w:w="82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0.88</w:t>
            </w:r>
          </w:p>
        </w:tc>
        <w:tc>
          <w:tcPr>
            <w:tcW w:w="1690" w:type="dxa"/>
            <w:gridSpan w:val="3"/>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68.7%</w:t>
            </w:r>
          </w:p>
        </w:tc>
        <w:tc>
          <w:tcPr>
            <w:tcW w:w="1030"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91.7%</w:t>
            </w:r>
          </w:p>
        </w:tc>
        <w:tc>
          <w:tcPr>
            <w:tcW w:w="84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0.66</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0.93</w:t>
            </w:r>
          </w:p>
        </w:tc>
      </w:tr>
      <w:tr>
        <w:tblPrEx>
          <w:tblLayout w:type="fixed"/>
          <w:tblCellMar>
            <w:top w:w="0" w:type="dxa"/>
            <w:left w:w="108" w:type="dxa"/>
            <w:bottom w:w="0" w:type="dxa"/>
            <w:right w:w="108" w:type="dxa"/>
          </w:tblCellMar>
        </w:tblPrEx>
        <w:trPr>
          <w:trHeight w:val="320" w:hRule="atLeast"/>
        </w:trPr>
        <w:tc>
          <w:tcPr>
            <w:tcW w:w="343"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coverage</w:t>
            </w:r>
          </w:p>
        </w:tc>
        <w:tc>
          <w:tcPr>
            <w:tcW w:w="106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0.86</w:t>
            </w:r>
          </w:p>
        </w:tc>
        <w:tc>
          <w:tcPr>
            <w:tcW w:w="82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0.86</w:t>
            </w:r>
          </w:p>
        </w:tc>
        <w:tc>
          <w:tcPr>
            <w:tcW w:w="1690" w:type="dxa"/>
            <w:gridSpan w:val="3"/>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66.5%</w:t>
            </w:r>
          </w:p>
        </w:tc>
        <w:tc>
          <w:tcPr>
            <w:tcW w:w="1030"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90.1%</w:t>
            </w:r>
          </w:p>
        </w:tc>
        <w:tc>
          <w:tcPr>
            <w:tcW w:w="84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0.63</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0.92</w:t>
            </w:r>
          </w:p>
        </w:tc>
      </w:tr>
      <w:tr>
        <w:tblPrEx>
          <w:tblLayout w:type="fixed"/>
          <w:tblCellMar>
            <w:top w:w="0" w:type="dxa"/>
            <w:left w:w="108" w:type="dxa"/>
            <w:bottom w:w="0" w:type="dxa"/>
            <w:right w:w="108" w:type="dxa"/>
          </w:tblCellMar>
        </w:tblPrEx>
        <w:trPr>
          <w:trHeight w:val="320" w:hRule="atLeast"/>
        </w:trPr>
        <w:tc>
          <w:tcPr>
            <w:tcW w:w="343"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w:t>
            </w:r>
          </w:p>
        </w:tc>
        <w:tc>
          <w:tcPr>
            <w:tcW w:w="106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0.84</w:t>
            </w:r>
          </w:p>
        </w:tc>
        <w:tc>
          <w:tcPr>
            <w:tcW w:w="82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0.82</w:t>
            </w:r>
          </w:p>
        </w:tc>
        <w:tc>
          <w:tcPr>
            <w:tcW w:w="1690" w:type="dxa"/>
            <w:gridSpan w:val="3"/>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59.6%</w:t>
            </w:r>
          </w:p>
        </w:tc>
        <w:tc>
          <w:tcPr>
            <w:tcW w:w="1030"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89.1%</w:t>
            </w:r>
          </w:p>
        </w:tc>
        <w:tc>
          <w:tcPr>
            <w:tcW w:w="84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0.58</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0.91</w:t>
            </w:r>
          </w:p>
        </w:tc>
      </w:tr>
      <w:tr>
        <w:tblPrEx>
          <w:tblLayout w:type="fixed"/>
          <w:tblCellMar>
            <w:top w:w="0" w:type="dxa"/>
            <w:left w:w="108" w:type="dxa"/>
            <w:bottom w:w="0" w:type="dxa"/>
            <w:right w:w="108" w:type="dxa"/>
          </w:tblCellMar>
        </w:tblPrEx>
        <w:trPr>
          <w:trHeight w:val="320" w:hRule="atLeast"/>
        </w:trPr>
        <w:tc>
          <w:tcPr>
            <w:tcW w:w="343"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Coverage</w:t>
            </w:r>
          </w:p>
        </w:tc>
        <w:tc>
          <w:tcPr>
            <w:tcW w:w="106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0.82</w:t>
            </w:r>
          </w:p>
        </w:tc>
        <w:tc>
          <w:tcPr>
            <w:tcW w:w="82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0.83</w:t>
            </w:r>
          </w:p>
        </w:tc>
        <w:tc>
          <w:tcPr>
            <w:tcW w:w="1690" w:type="dxa"/>
            <w:gridSpan w:val="3"/>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65.1%</w:t>
            </w:r>
          </w:p>
        </w:tc>
        <w:tc>
          <w:tcPr>
            <w:tcW w:w="1030"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89.4%</w:t>
            </w:r>
          </w:p>
        </w:tc>
        <w:tc>
          <w:tcPr>
            <w:tcW w:w="84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0.61</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0.92</w:t>
            </w:r>
          </w:p>
        </w:tc>
      </w:tr>
      <w:tr>
        <w:tblPrEx>
          <w:tblLayout w:type="fixed"/>
        </w:tblPrEx>
        <w:trPr>
          <w:trHeight w:val="320" w:hRule="atLeast"/>
        </w:trPr>
        <w:tc>
          <w:tcPr>
            <w:tcW w:w="343" w:type="dxa"/>
            <w:vMerge w:val="continue"/>
            <w:tcBorders>
              <w:top w:val="single" w:color="000000" w:sz="12" w:space="0"/>
              <w:left w:val="single" w:color="auto" w:sz="8" w:space="0"/>
              <w:bottom w:val="single" w:color="auto" w:sz="1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1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Xbar and Ybar</w:t>
            </w:r>
          </w:p>
        </w:tc>
        <w:tc>
          <w:tcPr>
            <w:tcW w:w="1067"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0.74</w:t>
            </w:r>
          </w:p>
        </w:tc>
        <w:tc>
          <w:tcPr>
            <w:tcW w:w="826"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0.75</w:t>
            </w:r>
          </w:p>
        </w:tc>
        <w:tc>
          <w:tcPr>
            <w:tcW w:w="1690" w:type="dxa"/>
            <w:gridSpan w:val="3"/>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58.9%</w:t>
            </w:r>
          </w:p>
        </w:tc>
        <w:tc>
          <w:tcPr>
            <w:tcW w:w="1030"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80.2%</w:t>
            </w:r>
          </w:p>
        </w:tc>
        <w:tc>
          <w:tcPr>
            <w:tcW w:w="848"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0.44</w:t>
            </w:r>
          </w:p>
        </w:tc>
        <w:tc>
          <w:tcPr>
            <w:tcW w:w="894" w:type="dxa"/>
            <w:tcBorders>
              <w:top w:val="nil"/>
              <w:left w:val="nil"/>
              <w:bottom w:val="single" w:color="auto" w:sz="1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0.90</w:t>
            </w:r>
          </w:p>
        </w:tc>
      </w:tr>
      <w:tr>
        <w:tblPrEx>
          <w:tblLayout w:type="fixed"/>
          <w:tblCellMar>
            <w:top w:w="0" w:type="dxa"/>
            <w:left w:w="108" w:type="dxa"/>
            <w:bottom w:w="0" w:type="dxa"/>
            <w:right w:w="108" w:type="dxa"/>
          </w:tblCellMar>
        </w:tblPrEx>
        <w:trPr>
          <w:trHeight w:val="340" w:hRule="atLeast"/>
        </w:trPr>
        <w:tc>
          <w:tcPr>
            <w:tcW w:w="343" w:type="dxa"/>
            <w:vMerge w:val="restart"/>
            <w:tcBorders>
              <w:top w:val="single" w:color="auto" w:sz="18" w:space="0"/>
              <w:left w:val="single" w:color="auto" w:sz="8" w:space="0"/>
              <w:bottom w:val="single" w:color="000000" w:sz="8" w:space="0"/>
              <w:right w:val="single" w:color="auto" w:sz="8" w:space="0"/>
            </w:tcBorders>
            <w:shd w:val="clear" w:color="auto" w:fill="auto"/>
            <w:noWrap/>
            <w:textDirection w:val="btLr"/>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Razorbill</w:t>
            </w:r>
          </w:p>
        </w:tc>
        <w:tc>
          <w:tcPr>
            <w:tcW w:w="1818" w:type="dxa"/>
            <w:tcBorders>
              <w:top w:val="single" w:color="auto" w:sz="18" w:space="0"/>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coverage, Xbar and Ybar</w:t>
            </w:r>
          </w:p>
        </w:tc>
        <w:tc>
          <w:tcPr>
            <w:tcW w:w="1067"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0.82</w:t>
            </w:r>
          </w:p>
        </w:tc>
        <w:tc>
          <w:tcPr>
            <w:tcW w:w="826"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0.80</w:t>
            </w:r>
          </w:p>
        </w:tc>
        <w:tc>
          <w:tcPr>
            <w:tcW w:w="1690" w:type="dxa"/>
            <w:gridSpan w:val="3"/>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56.3%</w:t>
            </w:r>
          </w:p>
        </w:tc>
        <w:tc>
          <w:tcPr>
            <w:tcW w:w="1030"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87.8%</w:t>
            </w:r>
          </w:p>
        </w:tc>
        <w:tc>
          <w:tcPr>
            <w:tcW w:w="848"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0.54</w:t>
            </w:r>
          </w:p>
        </w:tc>
        <w:tc>
          <w:tcPr>
            <w:tcW w:w="894" w:type="dxa"/>
            <w:tcBorders>
              <w:top w:val="single" w:color="auto" w:sz="18" w:space="0"/>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0.94</w:t>
            </w:r>
          </w:p>
        </w:tc>
      </w:tr>
      <w:tr>
        <w:tblPrEx>
          <w:tblLayout w:type="fixed"/>
          <w:tblCellMar>
            <w:top w:w="0" w:type="dxa"/>
            <w:left w:w="108" w:type="dxa"/>
            <w:bottom w:w="0" w:type="dxa"/>
            <w:right w:w="108" w:type="dxa"/>
          </w:tblCellMar>
        </w:tblPrEx>
        <w:trPr>
          <w:trHeight w:val="320" w:hRule="atLeast"/>
        </w:trPr>
        <w:tc>
          <w:tcPr>
            <w:tcW w:w="343" w:type="dxa"/>
            <w:vMerge w:val="continue"/>
            <w:tcBorders>
              <w:top w:val="nil"/>
              <w:left w:val="single" w:color="auto" w:sz="8" w:space="0"/>
              <w:bottom w:val="single" w:color="000000" w:sz="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Xbar and Ybar</w:t>
            </w:r>
          </w:p>
        </w:tc>
        <w:tc>
          <w:tcPr>
            <w:tcW w:w="106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0.77</w:t>
            </w:r>
          </w:p>
        </w:tc>
        <w:tc>
          <w:tcPr>
            <w:tcW w:w="82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0.76</w:t>
            </w:r>
          </w:p>
        </w:tc>
        <w:tc>
          <w:tcPr>
            <w:tcW w:w="1690" w:type="dxa"/>
            <w:gridSpan w:val="3"/>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48.2%</w:t>
            </w:r>
          </w:p>
        </w:tc>
        <w:tc>
          <w:tcPr>
            <w:tcW w:w="1030"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86.4%</w:t>
            </w:r>
          </w:p>
        </w:tc>
        <w:tc>
          <w:tcPr>
            <w:tcW w:w="84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0.44</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0.93</w:t>
            </w:r>
          </w:p>
        </w:tc>
      </w:tr>
      <w:tr>
        <w:tblPrEx>
          <w:tblLayout w:type="fixed"/>
          <w:tblCellMar>
            <w:top w:w="0" w:type="dxa"/>
            <w:left w:w="108" w:type="dxa"/>
            <w:bottom w:w="0" w:type="dxa"/>
            <w:right w:w="108" w:type="dxa"/>
          </w:tblCellMar>
        </w:tblPrEx>
        <w:trPr>
          <w:trHeight w:val="320" w:hRule="atLeast"/>
        </w:trPr>
        <w:tc>
          <w:tcPr>
            <w:tcW w:w="343" w:type="dxa"/>
            <w:vMerge w:val="continue"/>
            <w:tcBorders>
              <w:top w:val="nil"/>
              <w:left w:val="single" w:color="auto" w:sz="8" w:space="0"/>
              <w:bottom w:val="single" w:color="000000" w:sz="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Coverage, Xbar and Ybar</w:t>
            </w:r>
          </w:p>
        </w:tc>
        <w:tc>
          <w:tcPr>
            <w:tcW w:w="106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0.79</w:t>
            </w:r>
          </w:p>
        </w:tc>
        <w:tc>
          <w:tcPr>
            <w:tcW w:w="82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0.80</w:t>
            </w:r>
          </w:p>
        </w:tc>
        <w:tc>
          <w:tcPr>
            <w:tcW w:w="1690" w:type="dxa"/>
            <w:gridSpan w:val="3"/>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54.9%</w:t>
            </w:r>
          </w:p>
        </w:tc>
        <w:tc>
          <w:tcPr>
            <w:tcW w:w="1030"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87.5%</w:t>
            </w:r>
          </w:p>
        </w:tc>
        <w:tc>
          <w:tcPr>
            <w:tcW w:w="84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0.52</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0.94</w:t>
            </w:r>
          </w:p>
        </w:tc>
      </w:tr>
      <w:tr>
        <w:tblPrEx>
          <w:tblLayout w:type="fixed"/>
          <w:tblCellMar>
            <w:top w:w="0" w:type="dxa"/>
            <w:left w:w="108" w:type="dxa"/>
            <w:bottom w:w="0" w:type="dxa"/>
            <w:right w:w="108" w:type="dxa"/>
          </w:tblCellMar>
        </w:tblPrEx>
        <w:trPr>
          <w:trHeight w:val="320" w:hRule="atLeast"/>
        </w:trPr>
        <w:tc>
          <w:tcPr>
            <w:tcW w:w="343" w:type="dxa"/>
            <w:vMerge w:val="continue"/>
            <w:tcBorders>
              <w:top w:val="nil"/>
              <w:left w:val="single" w:color="auto" w:sz="8" w:space="0"/>
              <w:bottom w:val="single" w:color="000000" w:sz="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 coverage</w:t>
            </w:r>
          </w:p>
        </w:tc>
        <w:tc>
          <w:tcPr>
            <w:tcW w:w="106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0.74</w:t>
            </w:r>
          </w:p>
        </w:tc>
        <w:tc>
          <w:tcPr>
            <w:tcW w:w="82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0.75</w:t>
            </w:r>
          </w:p>
        </w:tc>
        <w:tc>
          <w:tcPr>
            <w:tcW w:w="1690" w:type="dxa"/>
            <w:gridSpan w:val="3"/>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51.8%</w:t>
            </w:r>
          </w:p>
        </w:tc>
        <w:tc>
          <w:tcPr>
            <w:tcW w:w="1030"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86.6%</w:t>
            </w:r>
          </w:p>
        </w:tc>
        <w:tc>
          <w:tcPr>
            <w:tcW w:w="84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0.47</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0.93</w:t>
            </w:r>
          </w:p>
        </w:tc>
      </w:tr>
      <w:tr>
        <w:tblPrEx>
          <w:tblLayout w:type="fixed"/>
        </w:tblPrEx>
        <w:trPr>
          <w:trHeight w:val="320" w:hRule="atLeast"/>
        </w:trPr>
        <w:tc>
          <w:tcPr>
            <w:tcW w:w="343" w:type="dxa"/>
            <w:vMerge w:val="continue"/>
            <w:tcBorders>
              <w:top w:val="nil"/>
              <w:left w:val="single" w:color="auto" w:sz="8" w:space="0"/>
              <w:bottom w:val="single" w:color="000000" w:sz="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Altitude</w:t>
            </w:r>
          </w:p>
        </w:tc>
        <w:tc>
          <w:tcPr>
            <w:tcW w:w="106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0.66</w:t>
            </w:r>
          </w:p>
        </w:tc>
        <w:tc>
          <w:tcPr>
            <w:tcW w:w="82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0.68</w:t>
            </w:r>
          </w:p>
        </w:tc>
        <w:tc>
          <w:tcPr>
            <w:tcW w:w="1690" w:type="dxa"/>
            <w:gridSpan w:val="3"/>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50.5%</w:t>
            </w:r>
          </w:p>
        </w:tc>
        <w:tc>
          <w:tcPr>
            <w:tcW w:w="1030"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76.3%</w:t>
            </w:r>
          </w:p>
        </w:tc>
        <w:tc>
          <w:tcPr>
            <w:tcW w:w="84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0.30</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0.92</w:t>
            </w:r>
          </w:p>
        </w:tc>
      </w:tr>
      <w:tr>
        <w:tblPrEx>
          <w:tblLayout w:type="fixed"/>
          <w:tblCellMar>
            <w:top w:w="0" w:type="dxa"/>
            <w:left w:w="108" w:type="dxa"/>
            <w:bottom w:w="0" w:type="dxa"/>
            <w:right w:w="108" w:type="dxa"/>
          </w:tblCellMar>
        </w:tblPrEx>
        <w:trPr>
          <w:trHeight w:val="320" w:hRule="atLeast"/>
        </w:trPr>
        <w:tc>
          <w:tcPr>
            <w:tcW w:w="343" w:type="dxa"/>
            <w:vMerge w:val="continue"/>
            <w:tcBorders>
              <w:top w:val="nil"/>
              <w:left w:val="single" w:color="auto" w:sz="8" w:space="0"/>
              <w:bottom w:val="single" w:color="000000" w:sz="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Coverage</w:t>
            </w:r>
          </w:p>
        </w:tc>
        <w:tc>
          <w:tcPr>
            <w:tcW w:w="106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0.69</w:t>
            </w:r>
          </w:p>
        </w:tc>
        <w:tc>
          <w:tcPr>
            <w:tcW w:w="82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0.72</w:t>
            </w:r>
          </w:p>
        </w:tc>
        <w:tc>
          <w:tcPr>
            <w:tcW w:w="1690" w:type="dxa"/>
            <w:gridSpan w:val="3"/>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48.0%</w:t>
            </w:r>
          </w:p>
        </w:tc>
        <w:tc>
          <w:tcPr>
            <w:tcW w:w="1030"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84.7%</w:t>
            </w:r>
          </w:p>
        </w:tc>
        <w:tc>
          <w:tcPr>
            <w:tcW w:w="84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0.44</w:t>
            </w:r>
          </w:p>
        </w:tc>
        <w:tc>
          <w:tcPr>
            <w:tcW w:w="894"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0.93</w:t>
            </w:r>
          </w:p>
        </w:tc>
      </w:tr>
      <w:tr>
        <w:tblPrEx>
          <w:tblLayout w:type="fixed"/>
          <w:tblCellMar>
            <w:top w:w="0" w:type="dxa"/>
            <w:left w:w="108" w:type="dxa"/>
            <w:bottom w:w="0" w:type="dxa"/>
            <w:right w:w="108" w:type="dxa"/>
          </w:tblCellMar>
        </w:tblPrEx>
        <w:trPr>
          <w:trHeight w:val="320" w:hRule="atLeast"/>
        </w:trPr>
        <w:tc>
          <w:tcPr>
            <w:tcW w:w="343" w:type="dxa"/>
            <w:vMerge w:val="continue"/>
            <w:tcBorders>
              <w:top w:val="nil"/>
              <w:left w:val="single" w:color="auto" w:sz="8" w:space="0"/>
              <w:bottom w:val="single" w:color="000000" w:sz="8" w:space="0"/>
              <w:right w:val="single" w:color="auto" w:sz="8" w:space="0"/>
            </w:tcBorders>
            <w:vAlign w:val="center"/>
          </w:tcPr>
          <w:p>
            <w:pPr>
              <w:rPr>
                <w:rFonts w:ascii="Arial" w:hAnsi="Arial" w:eastAsia="Times New Roman" w:cs="Arial"/>
                <w:b/>
                <w:bCs/>
                <w:color w:val="000000"/>
                <w:sz w:val="18"/>
                <w:szCs w:val="18"/>
              </w:rPr>
            </w:pPr>
          </w:p>
        </w:tc>
        <w:tc>
          <w:tcPr>
            <w:tcW w:w="1818" w:type="dxa"/>
            <w:tcBorders>
              <w:top w:val="nil"/>
              <w:left w:val="nil"/>
              <w:bottom w:val="single" w:color="auto" w:sz="8" w:space="0"/>
              <w:right w:val="single" w:color="auto" w:sz="8" w:space="0"/>
            </w:tcBorders>
            <w:shd w:val="clear" w:color="auto" w:fill="auto"/>
            <w:noWrap/>
            <w:vAlign w:val="center"/>
          </w:tcPr>
          <w:p>
            <w:pPr>
              <w:rPr>
                <w:rFonts w:ascii="Arial" w:hAnsi="Arial" w:eastAsia="Times New Roman" w:cs="Arial"/>
                <w:color w:val="000000"/>
                <w:sz w:val="18"/>
                <w:szCs w:val="18"/>
              </w:rPr>
            </w:pPr>
            <w:r>
              <w:rPr>
                <w:rFonts w:ascii="Arial" w:hAnsi="Arial" w:eastAsia="Times New Roman" w:cs="Arial"/>
                <w:color w:val="000000"/>
                <w:sz w:val="18"/>
                <w:szCs w:val="18"/>
              </w:rPr>
              <w:t>Xbar and Ybar</w:t>
            </w:r>
          </w:p>
        </w:tc>
        <w:tc>
          <w:tcPr>
            <w:tcW w:w="1067"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0.71</w:t>
            </w:r>
          </w:p>
        </w:tc>
        <w:tc>
          <w:tcPr>
            <w:tcW w:w="826"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0.74</w:t>
            </w:r>
          </w:p>
        </w:tc>
        <w:tc>
          <w:tcPr>
            <w:tcW w:w="1690" w:type="dxa"/>
            <w:gridSpan w:val="3"/>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47.0%</w:t>
            </w:r>
          </w:p>
        </w:tc>
        <w:tc>
          <w:tcPr>
            <w:tcW w:w="1030"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85.0%</w:t>
            </w:r>
          </w:p>
        </w:tc>
        <w:tc>
          <w:tcPr>
            <w:tcW w:w="848"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0.42</w:t>
            </w:r>
          </w:p>
        </w:tc>
        <w:tc>
          <w:tcPr>
            <w:tcW w:w="894" w:type="dxa"/>
            <w:tcBorders>
              <w:top w:val="nil"/>
              <w:left w:val="nil"/>
              <w:bottom w:val="single" w:color="auto"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0.93</w:t>
            </w:r>
          </w:p>
        </w:tc>
      </w:tr>
    </w:tbl>
    <w:p>
      <w:pPr>
        <w:pStyle w:val="3"/>
        <w:jc w:val="both"/>
        <w:rPr>
          <w:rFonts w:ascii="Arial" w:hAnsi="Arial"/>
          <w:color w:val="auto"/>
        </w:rPr>
      </w:pPr>
    </w:p>
    <w:p>
      <w:pPr>
        <w:rPr>
          <w:rFonts w:ascii="Arial" w:hAnsi="Arial"/>
          <w:b/>
          <w:bCs/>
          <w:sz w:val="18"/>
          <w:szCs w:val="18"/>
        </w:rPr>
      </w:pPr>
      <w:r>
        <w:rPr>
          <w:rFonts w:ascii="Arial" w:hAnsi="Arial"/>
        </w:rPr>
        <w:br w:type="page"/>
      </w:r>
    </w:p>
    <w:p>
      <w:pPr>
        <w:pStyle w:val="3"/>
        <w:jc w:val="both"/>
        <w:rPr>
          <w:rFonts w:ascii="Arial" w:hAnsi="Arial" w:cs="Arial"/>
          <w:color w:val="auto"/>
        </w:rPr>
      </w:pPr>
      <w:r>
        <w:rPr>
          <w:rFonts w:ascii="Arial" w:hAnsi="Arial" w:cs="Arial"/>
          <w:b w:val="0"/>
          <w:color w:val="auto"/>
          <w:sz w:val="20"/>
          <w:u w:val="single"/>
        </w:rPr>
        <w:t xml:space="preserve">Appendix S7: Non-validated predictions of  dive and non-dive locations from GPS data </w:t>
      </w:r>
    </w:p>
    <w:p>
      <w:pPr>
        <w:pStyle w:val="3"/>
        <w:jc w:val="both"/>
        <w:rPr>
          <w:rFonts w:ascii="Arial" w:hAnsi="Arial"/>
          <w:color w:val="auto"/>
        </w:rPr>
      </w:pPr>
    </w:p>
    <w:p>
      <w:pPr>
        <w:pStyle w:val="3"/>
        <w:jc w:val="both"/>
        <w:rPr>
          <w:rFonts w:ascii="Arial" w:hAnsi="Arial"/>
          <w:color w:val="auto"/>
        </w:rPr>
      </w:pPr>
      <w:r>
        <w:rPr>
          <w:rFonts w:ascii="Arial" w:hAnsi="Arial"/>
          <w:color w:val="auto"/>
          <w:lang w:val="en-US"/>
        </w:rPr>
        <w:drawing>
          <wp:inline distT="0" distB="0" distL="0" distR="0">
            <wp:extent cx="5270500" cy="5196840"/>
            <wp:effectExtent l="0" t="0" r="1270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5270500" cy="5196840"/>
                    </a:xfrm>
                    <a:prstGeom prst="rect">
                      <a:avLst/>
                    </a:prstGeom>
                  </pic:spPr>
                </pic:pic>
              </a:graphicData>
            </a:graphic>
          </wp:inline>
        </w:drawing>
      </w:r>
    </w:p>
    <w:p>
      <w:pPr>
        <w:pStyle w:val="3"/>
        <w:jc w:val="both"/>
        <w:rPr>
          <w:rFonts w:ascii="Arial" w:hAnsi="Arial"/>
          <w:color w:val="auto"/>
          <w:sz w:val="20"/>
          <w:u w:val="single"/>
        </w:rPr>
      </w:pPr>
      <w:r>
        <w:rPr>
          <w:rFonts w:ascii="Arial" w:hAnsi="Arial"/>
          <w:color w:val="auto"/>
        </w:rPr>
        <w:t>Figure S7.1: The locations of common guillemots tracked only with GPS devices on Orkney, the location is shown on map (a). All GPS points are in grey (b), predicted dive locations are in blue (c) and predicted non-diving locations are red (d). Predictions were made using the model trained with altitude, coverage, Xbar and Ybar.</w:t>
      </w:r>
    </w:p>
    <w:p>
      <w:pPr>
        <w:pStyle w:val="3"/>
        <w:keepNext/>
        <w:jc w:val="both"/>
        <w:rPr>
          <w:rFonts w:ascii="Arial" w:hAnsi="Arial"/>
          <w:color w:val="auto"/>
        </w:rPr>
      </w:pPr>
    </w:p>
    <w:p>
      <w:pPr>
        <w:pStyle w:val="3"/>
        <w:keepNext/>
        <w:jc w:val="both"/>
        <w:rPr>
          <w:rFonts w:ascii="Arial" w:hAnsi="Arial"/>
          <w:color w:val="auto"/>
        </w:rPr>
        <w:sectPr>
          <w:type w:val="continuous"/>
          <w:pgSz w:w="11900" w:h="16840"/>
          <w:pgMar w:top="1440" w:right="1800" w:bottom="1440" w:left="1800" w:header="708" w:footer="708" w:gutter="0"/>
          <w:cols w:space="708" w:num="1"/>
          <w:docGrid w:linePitch="360" w:charSpace="0"/>
        </w:sectPr>
      </w:pPr>
    </w:p>
    <w:p>
      <w:pPr>
        <w:rPr>
          <w:rFonts w:ascii="Arial" w:hAnsi="Arial"/>
          <w:sz w:val="20"/>
          <w:u w:val="single"/>
        </w:rPr>
        <w:sectPr>
          <w:type w:val="continuous"/>
          <w:pgSz w:w="11900" w:h="16840"/>
          <w:pgMar w:top="1440" w:right="1800" w:bottom="1440" w:left="1800" w:header="708" w:footer="708" w:gutter="0"/>
          <w:cols w:space="708" w:num="1"/>
          <w:docGrid w:linePitch="360" w:charSpace="0"/>
        </w:sectPr>
      </w:pPr>
    </w:p>
    <w:p>
      <w:pPr>
        <w:rPr>
          <w:rFonts w:ascii="Arial" w:hAnsi="Arial" w:cs="Arial"/>
        </w:rPr>
      </w:pPr>
      <w:r>
        <w:rPr>
          <w:rFonts w:ascii="Arial" w:hAnsi="Arial"/>
          <w:sz w:val="20"/>
          <w:u w:val="single"/>
        </w:rPr>
        <w:br w:type="page"/>
      </w:r>
    </w:p>
    <w:p>
      <w:pPr>
        <w:pStyle w:val="3"/>
        <w:keepNext/>
        <w:spacing w:line="480" w:lineRule="auto"/>
        <w:rPr>
          <w:rFonts w:ascii="Arial" w:hAnsi="Arial"/>
          <w:b w:val="0"/>
          <w:sz w:val="20"/>
          <w:u w:val="single"/>
        </w:rPr>
      </w:pPr>
      <w:r>
        <w:rPr>
          <w:rFonts w:ascii="Arial" w:hAnsi="Arial"/>
          <w:b w:val="0"/>
          <w:color w:val="auto"/>
          <w:sz w:val="20"/>
          <w:u w:val="single"/>
        </w:rPr>
        <w:t>Appendix S8: Foraging predictions using speed and tortuosity thresholds</w:t>
      </w:r>
    </w:p>
    <w:p>
      <w:pPr>
        <w:spacing w:line="480" w:lineRule="auto"/>
        <w:rPr>
          <w:rFonts w:ascii="Arial" w:hAnsi="Arial"/>
          <w:b/>
          <w:i/>
          <w:sz w:val="20"/>
        </w:rPr>
      </w:pPr>
      <w:r>
        <w:rPr>
          <w:rFonts w:ascii="Arial" w:hAnsi="Arial"/>
          <w:b/>
          <w:i/>
          <w:sz w:val="20"/>
        </w:rPr>
        <w:t>Methods</w:t>
      </w:r>
    </w:p>
    <w:p>
      <w:pPr>
        <w:spacing w:line="480" w:lineRule="auto"/>
        <w:jc w:val="both"/>
        <w:rPr>
          <w:rFonts w:ascii="Arial" w:hAnsi="Arial"/>
          <w:sz w:val="20"/>
        </w:rPr>
      </w:pPr>
      <w:r>
        <w:rPr>
          <w:rFonts w:ascii="Arial" w:hAnsi="Arial"/>
          <w:sz w:val="20"/>
        </w:rPr>
        <w:t xml:space="preserve">Speed and tortuosity were calculated from the GPS data. The haversine distance between each point was calculated using the distHaversine function in the geosphere package in R </w:t>
      </w:r>
      <w:r>
        <w:rPr>
          <w:rFonts w:ascii="Arial" w:hAnsi="Arial"/>
          <w:sz w:val="20"/>
        </w:rPr>
        <w:fldChar w:fldCharType="begin" w:fldLock="1"/>
      </w:r>
      <w:r>
        <w:rPr>
          <w:rFonts w:ascii="Arial" w:hAnsi="Arial"/>
          <w:sz w:val="20"/>
        </w:rPr>
        <w:instrText xml:space="preserve">ADDIN CSL_CITATION { "citationItems" : [ { "id" : "ITEM-1", "itemData" : { "author" : [ { "dropping-particle" : "", "family" : "Hijmans", "given" : "Robert J.", "non-dropping-particle" : "", "parse-names" : false, "suffix" : "" } ], "id" : "ITEM-1", "issued" : { "date-parts" : [ [ "2015" ] ] }, "title" : "geosphere: Spherical Trigonometry. R package version 1.3-13", "type" : "article" }, "uris" : [ "http://www.mendeley.com/documents/?uuid=4ef9bfca-a339-45b0-a266-7257b5339494" ] } ], "mendeley" : { "formattedCitation" : "(Hijmans 2015)", "plainTextFormattedCitation" : "(Hijmans 2015)", "previouslyFormattedCitation" : "(Hijmans 2015)" }, "properties" : { "noteIndex" : 0 }, "schema" : "https://github.com/citation-style-language/schema/raw/master/csl-citation.json" }</w:instrText>
      </w:r>
      <w:r>
        <w:rPr>
          <w:rFonts w:ascii="Arial" w:hAnsi="Arial"/>
          <w:sz w:val="20"/>
        </w:rPr>
        <w:fldChar w:fldCharType="separate"/>
      </w:r>
      <w:r>
        <w:rPr>
          <w:rFonts w:ascii="Arial" w:hAnsi="Arial"/>
          <w:sz w:val="20"/>
        </w:rPr>
        <w:t>(Hijmans 2015)</w:t>
      </w:r>
      <w:r>
        <w:rPr>
          <w:rFonts w:ascii="Arial" w:hAnsi="Arial"/>
          <w:sz w:val="20"/>
        </w:rPr>
        <w:fldChar w:fldCharType="end"/>
      </w:r>
      <w:r>
        <w:rPr>
          <w:rFonts w:ascii="Arial" w:hAnsi="Arial"/>
          <w:sz w:val="20"/>
        </w:rPr>
        <w:t xml:space="preserve">.  Tortuosity, </w:t>
      </w:r>
      <w:r>
        <w:rPr>
          <w:rFonts w:ascii="Arial" w:hAnsi="Arial"/>
          <w:i/>
          <w:sz w:val="20"/>
        </w:rPr>
        <w:t>t</w:t>
      </w:r>
      <w:r>
        <w:rPr>
          <w:rFonts w:ascii="Arial" w:hAnsi="Arial"/>
          <w:sz w:val="20"/>
        </w:rPr>
        <w:t>, was then calculated over a window of 10 points using the bee-line distance between the first and tenth point divided by the sum of all distances between each of the points, giving a value between 0 and 1. This value was then subtracted from one, so that the closer the value is to one, the greater the deviation from a straight line. Speed was calculated in metres per second.</w:t>
      </w:r>
    </w:p>
    <w:p>
      <w:pPr>
        <w:spacing w:line="480" w:lineRule="auto"/>
        <w:jc w:val="both"/>
        <w:rPr>
          <w:rFonts w:ascii="Arial" w:hAnsi="Arial"/>
          <w:sz w:val="20"/>
        </w:rPr>
      </w:pPr>
    </w:p>
    <w:p>
      <w:pPr>
        <w:spacing w:line="480" w:lineRule="auto"/>
        <w:jc w:val="both"/>
        <w:rPr>
          <w:rFonts w:ascii="Arial" w:hAnsi="Arial"/>
          <w:sz w:val="20"/>
        </w:rPr>
      </w:pPr>
      <w:r>
        <w:rPr>
          <w:rFonts w:ascii="Arial" w:hAnsi="Arial"/>
          <w:sz w:val="20"/>
        </w:rPr>
        <w:t xml:space="preserve">Various speed and tortuosity thresholds were explored to test whether this method produces accurate predictions on the species in this data set. These were chosen based on the thresholds used in previous studies of foraging behaviour in seabirds </w:t>
      </w:r>
      <w:r>
        <w:rPr>
          <w:rFonts w:ascii="Arial" w:hAnsi="Arial"/>
          <w:sz w:val="20"/>
        </w:rPr>
        <w:fldChar w:fldCharType="begin" w:fldLock="1"/>
      </w:r>
      <w:r>
        <w:rPr>
          <w:rFonts w:ascii="Arial" w:hAnsi="Arial"/>
          <w:sz w:val="20"/>
        </w:rPr>
        <w:instrText xml:space="preserve">ADDIN CSL_CITATION { "citationItems" : [ { "id" : "ITEM-1", "itemData" : { "DOI" : "10.1098/rsif.2013.0279", "ISSN" : "1742-5662", "PMID" : "23635496", "abstract" : "Understanding the behaviour of animals in the wild is fundamental to conservation efforts. Advances in bio-logging technologies have offered insights into the behaviour of animals during foraging, migration and social interaction. However, broader application of these systems has been limited by device mass, cost and longevity. Here, we use information from multiple logger types to predict individual behaviour in a highly pelagic, migratory seabird, the Manx Shearwater (Puffinus puffinus). Using behavioural states resolved from GPS tracking of foraging during the breeding season, we demonstrate that individual behaviours can be accurately predicted during multi-year migrations from low cost, lightweight, salt-water immersion devices. This reveals a complex pattern of migratory stopovers: some involving high proportions of foraging, and others of rest behaviour. We use this technique to examine three consecutive years of global migrations, revealing the prominence of foraging behaviour during migration and the importance of highly productive waters during migratory stopover.", "author" : [ { "dropping-particle" : "", "family" : "Freeman", "given" : "Robin", "non-dropping-particle" : "", "parse-names" : false, "suffix" : "" }, { "dropping-particle" : "", "family" : "Dean", "given" : "Ben", "non-dropping-particle" : "", "parse-names" : false, "suffix" : "" }, { "dropping-particle" : "", "family" : "Kirk", "given" : "Holly", "non-dropping-particle" : "", "parse-names" : false, "suffix" : "" }, { "dropping-particle" : "", "family" : "Leonard", "given" : "Kerry", "non-dropping-particle" : "", "parse-names" : false, "suffix" : "" }, { "dropping-particle" : "", "family" : "Phillips", "given" : "Richard A", "non-dropping-particle" : "", "parse-names" : false, "suffix" : "" }, { "dropping-particle" : "", "family" : "Perrins", "given" : "Chris M", "non-dropping-particle" : "", "parse-names" : false, "suffix" : "" }, { "dropping-particle" : "", "family" : "Guilford", "given" : "Tim", "non-dropping-particle" : "", "parse-names" : false, "suffix" : "" } ], "container-title" : "Journal of the Royal Society, Interface / the Royal Society", "id" : "ITEM-1", "issue" : "84", "issued" : { "date-parts" : [ [ "2013", "7", "6" ] ] }, "page" : "20130279", "title" : "Predictive ethoinformatics reveals the complex migratory behaviour of a pelagic seabird, the Manx Shearwater.", "type" : "article-journal", "volume" : "10" }, "uris" : [ "http://www.mendeley.com/documents/?uuid=5012e434-e6cf-4246-8e60-7b9f3cbeb492" ] }, { "id" : "ITEM-2", "itemData" : { "DOI" : "10.1007/s00227-014-2492-9", "ISSN" : "0025-3162", "author" : [ { "dropping-particle" : "", "family" : "Shoji", "given" : "Akiko", "non-dropping-particle" : "", "parse-names" : false, "suffix" : "" }, { "dropping-particle" : "", "family" : "Owen", "given" : "Ellie", "non-dropping-particle" : "", "parse-names" : false, "suffix" : "" }, { "dropping-particle" : "", "family" : "Bolton", "given" : "Mark", "non-dropping-particle" : "", "parse-names" : false, "suffix" : "" }, { "dropping-particle" : "", "family" : "Dean", "given" : "Ben", "non-dropping-particle" : "", "parse-names" : false, "suffix" : "" }, { "dropping-particle" : "", "family" : "Kirk", "given" : "Holly", "non-dropping-particle" : "", "parse-names" : false, "suffix" : "" }, { "dropping-particle" : "", "family" : "Fayet", "given" : "Annette", "non-dropping-particle" : "", "parse-names" : false, "suffix" : "" }, { "dropping-particle" : "", "family" : "Boyle", "given" : "Dave", "non-dropping-particle" : "", "parse-names" : false, "suffix" : "" }, { "dropping-particle" : "", "family" : "Freeman", "given" : "Robin", "non-dropping-particle" : "", "parse-names" : false, "suffix" : "" }, { "dropping-particle" : "", "family" : "Perrins", "given" : "Chris", "non-dropping-particle" : "", "parse-names" : false, "suffix" : "" }, { "dropping-particle" : "", "family" : "Aris-Brosou", "given" : "St\u00e9phane", "non-dropping-particle" : "", "parse-names" : false, "suffix" : "" }, { "dropping-particle" : "", "family" : "Guilford", "given" : "Tim", "non-dropping-particle" : "", "parse-names" : false, "suffix" : "" } ], "container-title" : "Marine Biology", "id" : "ITEM-2", "issue" : "9", "issued" : { "date-parts" : [ [ "2014", "7", "23" ] ] }, "page" : "2121-2129", "title" : "Flexible foraging strategies in a diving seabird with high flight cost", "type" : "article-journal", "volume" : "161" }, "uris" : [ "http://www.mendeley.com/documents/?uuid=acf337d4-6f27-430a-bd12-5c2cd63c4332" ] } ], "mendeley" : { "formattedCitation" : "(Freeman et al. 2013, Shoji et al. 2014)", "plainTextFormattedCitation" : "(Freeman et al. 2013, Shoji et al. 2014)", "previouslyFormattedCitation" : "(Freeman et al. 2013, Shoji et al. 2014)" }, "properties" : { "noteIndex" : 0 }, "schema" : "https://github.com/citation-style-language/schema/raw/master/csl-citation.json" }</w:instrText>
      </w:r>
      <w:r>
        <w:rPr>
          <w:rFonts w:ascii="Arial" w:hAnsi="Arial"/>
          <w:sz w:val="20"/>
        </w:rPr>
        <w:fldChar w:fldCharType="separate"/>
      </w:r>
      <w:r>
        <w:rPr>
          <w:rFonts w:ascii="Arial" w:hAnsi="Arial"/>
          <w:sz w:val="20"/>
        </w:rPr>
        <w:t>(Freeman et al. 2013, Shoji et al. 2014)</w:t>
      </w:r>
      <w:r>
        <w:rPr>
          <w:rFonts w:ascii="Arial" w:hAnsi="Arial"/>
          <w:sz w:val="20"/>
        </w:rPr>
        <w:fldChar w:fldCharType="end"/>
      </w:r>
      <w:r>
        <w:rPr>
          <w:rFonts w:ascii="Arial" w:hAnsi="Arial"/>
          <w:sz w:val="20"/>
        </w:rPr>
        <w:t xml:space="preserve">. Although, others have noted that the speeds used to classify foraging or flight are subjective </w:t>
      </w:r>
      <w:r>
        <w:rPr>
          <w:rFonts w:ascii="Arial" w:hAnsi="Arial"/>
          <w:sz w:val="20"/>
        </w:rPr>
        <w:fldChar w:fldCharType="begin" w:fldLock="1"/>
      </w:r>
      <w:r>
        <w:rPr>
          <w:rFonts w:ascii="Arial" w:hAnsi="Arial"/>
          <w:sz w:val="20"/>
        </w:rPr>
        <w:instrText xml:space="preserve">ADDIN CSL_CITATION { "citationItems" : [ { "id" : "ITEM-1", "itemData" : { "DOI" : "10.1007/s00227-014-2492-9", "ISSN" : "0025-3162", "author" : [ { "dropping-particle" : "", "family" : "Shoji", "given" : "Akiko", "non-dropping-particle" : "", "parse-names" : false, "suffix" : "" }, { "dropping-particle" : "", "family" : "Owen", "given" : "Ellie", "non-dropping-particle" : "", "parse-names" : false, "suffix" : "" }, { "dropping-particle" : "", "family" : "Bolton", "given" : "Mark", "non-dropping-particle" : "", "parse-names" : false, "suffix" : "" }, { "dropping-particle" : "", "family" : "Dean", "given" : "Ben", "non-dropping-particle" : "", "parse-names" : false, "suffix" : "" }, { "dropping-particle" : "", "family" : "Kirk", "given" : "Holly", "non-dropping-particle" : "", "parse-names" : false, "suffix" : "" }, { "dropping-particle" : "", "family" : "Fayet", "given" : "Annette", "non-dropping-particle" : "", "parse-names" : false, "suffix" : "" }, { "dropping-particle" : "", "family" : "Boyle", "given" : "Dave", "non-dropping-particle" : "", "parse-names" : false, "suffix" : "" }, { "dropping-particle" : "", "family" : "Freeman", "given" : "Robin", "non-dropping-particle" : "", "parse-names" : false, "suffix" : "" }, { "dropping-particle" : "", "family" : "Perrins", "given" : "Chris", "non-dropping-particle" : "", "parse-names" : false, "suffix" : "" }, { "dropping-particle" : "", "family" : "Aris-Brosou", "given" : "St\u00e9phane", "non-dropping-particle" : "", "parse-names" : false, "suffix" : "" }, { "dropping-particle" : "", "family" : "Guilford", "given" : "Tim", "non-dropping-particle" : "", "parse-names" : false, "suffix" : "" } ], "container-title" : "Marine Biology", "id" : "ITEM-1", "issue" : "9", "issued" : { "date-parts" : [ [ "2014", "7", "23" ] ] }, "page" : "2121-2129", "title" : "Flexible foraging strategies in a diving seabird with high flight cost", "type" : "article-journal", "volume" : "161" }, "uris" : [ "http://www.mendeley.com/documents/?uuid=acf337d4-6f27-430a-bd12-5c2cd63c4332" ] } ], "mendeley" : { "formattedCitation" : "(Shoji et al. 2014)", "plainTextFormattedCitation" : "(Shoji et al. 2014)", "previouslyFormattedCitation" : "(Shoji et al. 2014)" }, "properties" : { "noteIndex" : 0 }, "schema" : "https://github.com/citation-style-language/schema/raw/master/csl-citation.json" }</w:instrText>
      </w:r>
      <w:r>
        <w:rPr>
          <w:rFonts w:ascii="Arial" w:hAnsi="Arial"/>
          <w:sz w:val="20"/>
        </w:rPr>
        <w:fldChar w:fldCharType="separate"/>
      </w:r>
      <w:r>
        <w:rPr>
          <w:rFonts w:ascii="Arial" w:hAnsi="Arial"/>
          <w:sz w:val="20"/>
        </w:rPr>
        <w:t>(Shoji et al. 2014)</w:t>
      </w:r>
      <w:r>
        <w:rPr>
          <w:rFonts w:ascii="Arial" w:hAnsi="Arial"/>
          <w:sz w:val="20"/>
        </w:rPr>
        <w:fldChar w:fldCharType="end"/>
      </w:r>
      <w:r>
        <w:rPr>
          <w:rFonts w:ascii="Arial" w:hAnsi="Arial"/>
          <w:sz w:val="20"/>
        </w:rPr>
        <w:t>. Comparing the sensitivity, specificity, false positive rate and false negative rate assessed the accuracy of each prediction. The false positive rate is the number of incorrectly predicted dives divided by the number of true non-dive locations. The false negative rate is the number of incorrectly predicted non-dive locations divided by the number of true dives and false negatives.</w:t>
      </w:r>
    </w:p>
    <w:p>
      <w:pPr>
        <w:pStyle w:val="3"/>
        <w:keepNext/>
        <w:rPr>
          <w:rFonts w:ascii="Arial" w:hAnsi="Arial" w:cs="Arial"/>
          <w:color w:val="auto"/>
        </w:rPr>
      </w:pPr>
      <w:r>
        <w:rPr>
          <w:rFonts w:ascii="Arial" w:hAnsi="Arial" w:cs="Arial"/>
          <w:color w:val="auto"/>
        </w:rPr>
        <w:br w:type="page"/>
      </w:r>
    </w:p>
    <w:p>
      <w:pPr>
        <w:pStyle w:val="3"/>
        <w:keepNext/>
        <w:rPr>
          <w:rFonts w:ascii="Arial" w:hAnsi="Arial" w:cs="Arial"/>
          <w:color w:val="auto"/>
        </w:rPr>
      </w:pPr>
      <w:r>
        <w:rPr>
          <w:rFonts w:ascii="Arial" w:hAnsi="Arial" w:cs="Arial"/>
          <w:color w:val="auto"/>
        </w:rPr>
        <w:t>Table S8.1: The sensitivity (or true positive rate) specificity (true negative rate), false positive rate (FPR) and false negative rate (FNR) of the foraging predictions using different thresholds of speed and tortuosity in European shags, common guillemots and razorbills.</w:t>
      </w:r>
    </w:p>
    <w:tbl>
      <w:tblPr>
        <w:tblStyle w:val="11"/>
        <w:tblW w:w="8516" w:type="dxa"/>
        <w:tblInd w:w="0" w:type="dxa"/>
        <w:tblLayout w:type="fixed"/>
        <w:tblCellMar>
          <w:top w:w="0" w:type="dxa"/>
          <w:left w:w="108" w:type="dxa"/>
          <w:bottom w:w="0" w:type="dxa"/>
          <w:right w:w="108" w:type="dxa"/>
        </w:tblCellMar>
      </w:tblPr>
      <w:tblGrid>
        <w:gridCol w:w="959"/>
        <w:gridCol w:w="925"/>
        <w:gridCol w:w="1201"/>
        <w:gridCol w:w="1418"/>
        <w:gridCol w:w="1417"/>
        <w:gridCol w:w="1276"/>
        <w:gridCol w:w="1320"/>
      </w:tblGrid>
      <w:tr>
        <w:tblPrEx>
          <w:tblLayout w:type="fixed"/>
          <w:tblCellMar>
            <w:top w:w="0" w:type="dxa"/>
            <w:left w:w="108" w:type="dxa"/>
            <w:bottom w:w="0" w:type="dxa"/>
            <w:right w:w="108" w:type="dxa"/>
          </w:tblCellMar>
        </w:tblPrEx>
        <w:trPr>
          <w:trHeight w:val="941" w:hRule="atLeast"/>
        </w:trPr>
        <w:tc>
          <w:tcPr>
            <w:tcW w:w="959" w:type="dxa"/>
            <w:tcBorders>
              <w:top w:val="single" w:color="auto" w:sz="8" w:space="0"/>
              <w:left w:val="single" w:color="auto" w:sz="8" w:space="0"/>
              <w:bottom w:val="single" w:color="auto" w:sz="18" w:space="0"/>
              <w:right w:val="single" w:color="auto" w:sz="8" w:space="0"/>
            </w:tcBorders>
            <w:shd w:val="clear" w:color="auto" w:fill="auto"/>
            <w:noWrap/>
            <w:vAlign w:val="center"/>
          </w:tcPr>
          <w:p>
            <w:pPr>
              <w:rPr>
                <w:rFonts w:ascii="Arial" w:hAnsi="Arial" w:eastAsia="Times New Roman" w:cs="Arial"/>
                <w:b/>
                <w:bCs/>
                <w:color w:val="000000"/>
                <w:sz w:val="18"/>
                <w:szCs w:val="18"/>
              </w:rPr>
            </w:pPr>
            <w:r>
              <w:rPr>
                <w:rFonts w:ascii="Arial" w:hAnsi="Arial" w:eastAsia="Times New Roman" w:cs="Arial"/>
                <w:b/>
                <w:bCs/>
                <w:color w:val="000000"/>
                <w:sz w:val="18"/>
                <w:szCs w:val="18"/>
              </w:rPr>
              <w:t> Species</w:t>
            </w:r>
          </w:p>
        </w:tc>
        <w:tc>
          <w:tcPr>
            <w:tcW w:w="925" w:type="dxa"/>
            <w:tcBorders>
              <w:top w:val="single" w:color="auto" w:sz="8" w:space="0"/>
              <w:left w:val="single" w:color="auto" w:sz="8" w:space="0"/>
              <w:bottom w:val="single" w:color="auto" w:sz="18" w:space="0"/>
              <w:right w:val="single" w:color="auto" w:sz="8" w:space="0"/>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Speed (ms</w:t>
            </w:r>
            <w:r>
              <w:rPr>
                <w:rFonts w:ascii="Arial" w:hAnsi="Arial" w:eastAsia="Times New Roman" w:cs="Arial"/>
                <w:b/>
                <w:bCs/>
                <w:color w:val="000000"/>
                <w:sz w:val="18"/>
                <w:szCs w:val="18"/>
                <w:vertAlign w:val="superscript"/>
              </w:rPr>
              <w:t>-1</w:t>
            </w:r>
            <w:r>
              <w:rPr>
                <w:rFonts w:ascii="Arial" w:hAnsi="Arial" w:eastAsia="Times New Roman" w:cs="Arial"/>
                <w:b/>
                <w:bCs/>
                <w:color w:val="000000"/>
                <w:sz w:val="18"/>
                <w:szCs w:val="18"/>
              </w:rPr>
              <w:t>)</w:t>
            </w:r>
          </w:p>
        </w:tc>
        <w:tc>
          <w:tcPr>
            <w:tcW w:w="1201" w:type="dxa"/>
            <w:tcBorders>
              <w:top w:val="single" w:color="auto" w:sz="8" w:space="0"/>
              <w:left w:val="single" w:color="auto" w:sz="8" w:space="0"/>
              <w:bottom w:val="single" w:color="auto" w:sz="18" w:space="0"/>
              <w:right w:val="single" w:color="auto" w:sz="8" w:space="0"/>
            </w:tcBorders>
            <w:shd w:val="clear" w:color="auto" w:fill="auto"/>
            <w:vAlign w:val="center"/>
          </w:tcPr>
          <w:p>
            <w:pPr>
              <w:rPr>
                <w:rFonts w:ascii="Arial" w:hAnsi="Arial" w:eastAsia="Times New Roman" w:cs="Arial"/>
                <w:b/>
                <w:bCs/>
                <w:color w:val="000000"/>
                <w:sz w:val="18"/>
                <w:szCs w:val="18"/>
              </w:rPr>
            </w:pPr>
            <w:r>
              <w:rPr>
                <w:rFonts w:ascii="Arial" w:hAnsi="Arial" w:eastAsia="Times New Roman" w:cs="Arial"/>
                <w:b/>
                <w:bCs/>
                <w:color w:val="000000"/>
                <w:sz w:val="18"/>
                <w:szCs w:val="18"/>
              </w:rPr>
              <w:t>Tortuosity</w:t>
            </w:r>
          </w:p>
        </w:tc>
        <w:tc>
          <w:tcPr>
            <w:tcW w:w="1418" w:type="dxa"/>
            <w:tcBorders>
              <w:top w:val="single" w:color="auto" w:sz="8" w:space="0"/>
              <w:left w:val="nil"/>
              <w:bottom w:val="single" w:color="auto" w:sz="18" w:space="0"/>
              <w:right w:val="single" w:color="auto" w:sz="8" w:space="0"/>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Sensitivity</w:t>
            </w:r>
          </w:p>
          <w:p>
            <w:pPr>
              <w:jc w:val="center"/>
              <w:rPr>
                <w:rFonts w:ascii="Arial" w:hAnsi="Arial" w:eastAsia="Times New Roman" w:cs="Arial"/>
                <w:b/>
                <w:bCs/>
                <w:color w:val="000000"/>
                <w:sz w:val="18"/>
                <w:szCs w:val="18"/>
              </w:rPr>
            </w:pPr>
            <w:r>
              <w:rPr>
                <w:rFonts w:ascii="Arial" w:hAnsi="Arial" w:eastAsia="Times New Roman" w:cs="Arial"/>
                <w:color w:val="000000"/>
                <w:sz w:val="18"/>
                <w:szCs w:val="18"/>
              </w:rPr>
              <w:t>(% of correctly predicted dives)</w:t>
            </w:r>
          </w:p>
        </w:tc>
        <w:tc>
          <w:tcPr>
            <w:tcW w:w="1417" w:type="dxa"/>
            <w:tcBorders>
              <w:top w:val="single" w:color="auto" w:sz="8" w:space="0"/>
              <w:left w:val="nil"/>
              <w:bottom w:val="single" w:color="auto" w:sz="18" w:space="0"/>
              <w:right w:val="single" w:color="auto" w:sz="8" w:space="0"/>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Specificity</w:t>
            </w:r>
          </w:p>
          <w:p>
            <w:pPr>
              <w:jc w:val="center"/>
              <w:rPr>
                <w:rFonts w:ascii="Arial" w:hAnsi="Arial" w:eastAsia="Times New Roman" w:cs="Arial"/>
                <w:b/>
                <w:bCs/>
                <w:color w:val="000000"/>
                <w:sz w:val="18"/>
                <w:szCs w:val="18"/>
              </w:rPr>
            </w:pPr>
            <w:r>
              <w:rPr>
                <w:rFonts w:ascii="Arial" w:hAnsi="Arial" w:eastAsia="Times New Roman" w:cs="Arial"/>
                <w:color w:val="000000"/>
                <w:sz w:val="18"/>
                <w:szCs w:val="18"/>
              </w:rPr>
              <w:t>(% of correctly predicted non-dives)</w:t>
            </w:r>
          </w:p>
        </w:tc>
        <w:tc>
          <w:tcPr>
            <w:tcW w:w="1276" w:type="dxa"/>
            <w:tcBorders>
              <w:top w:val="single" w:color="auto" w:sz="8" w:space="0"/>
              <w:left w:val="single" w:color="auto" w:sz="8" w:space="0"/>
              <w:bottom w:val="single" w:color="auto" w:sz="18" w:space="0"/>
              <w:right w:val="single" w:color="auto" w:sz="8" w:space="0"/>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FPR</w:t>
            </w:r>
          </w:p>
        </w:tc>
        <w:tc>
          <w:tcPr>
            <w:tcW w:w="1320" w:type="dxa"/>
            <w:tcBorders>
              <w:top w:val="single" w:color="auto" w:sz="8" w:space="0"/>
              <w:left w:val="single" w:color="auto" w:sz="8" w:space="0"/>
              <w:bottom w:val="single" w:color="auto" w:sz="18" w:space="0"/>
              <w:right w:val="single" w:color="auto" w:sz="8" w:space="0"/>
            </w:tcBorders>
            <w:shd w:val="clear" w:color="auto" w:fill="auto"/>
            <w:noWrap/>
            <w:vAlign w:val="center"/>
          </w:tcPr>
          <w:p>
            <w:pPr>
              <w:jc w:val="center"/>
              <w:rPr>
                <w:rFonts w:ascii="Arial" w:hAnsi="Arial" w:eastAsia="Times New Roman" w:cs="Arial"/>
                <w:b/>
                <w:bCs/>
                <w:color w:val="000000"/>
                <w:sz w:val="18"/>
                <w:szCs w:val="18"/>
              </w:rPr>
            </w:pPr>
            <w:r>
              <w:rPr>
                <w:rFonts w:ascii="Arial" w:hAnsi="Arial" w:eastAsia="Times New Roman" w:cs="Arial"/>
                <w:b/>
                <w:bCs/>
                <w:color w:val="000000"/>
                <w:sz w:val="18"/>
                <w:szCs w:val="18"/>
              </w:rPr>
              <w:t>FNR</w:t>
            </w:r>
          </w:p>
        </w:tc>
      </w:tr>
      <w:tr>
        <w:tblPrEx>
          <w:tblLayout w:type="fixed"/>
          <w:tblCellMar>
            <w:top w:w="0" w:type="dxa"/>
            <w:left w:w="108" w:type="dxa"/>
            <w:bottom w:w="0" w:type="dxa"/>
            <w:right w:w="108" w:type="dxa"/>
          </w:tblCellMar>
        </w:tblPrEx>
        <w:trPr>
          <w:trHeight w:val="320" w:hRule="atLeast"/>
        </w:trPr>
        <w:tc>
          <w:tcPr>
            <w:tcW w:w="959" w:type="dxa"/>
            <w:vMerge w:val="restart"/>
            <w:tcBorders>
              <w:top w:val="single" w:color="000000" w:sz="8" w:space="0"/>
              <w:left w:val="single" w:color="000000" w:sz="8" w:space="0"/>
              <w:bottom w:val="single" w:color="auto" w:sz="18" w:space="0"/>
              <w:right w:val="single" w:color="000000" w:sz="8" w:space="0"/>
            </w:tcBorders>
            <w:shd w:val="clear" w:color="auto" w:fill="auto"/>
            <w:noWrap/>
            <w:textDirection w:val="btLr"/>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European shag</w:t>
            </w:r>
          </w:p>
        </w:tc>
        <w:tc>
          <w:tcPr>
            <w:tcW w:w="925" w:type="dxa"/>
            <w:vMerge w:val="restart"/>
            <w:tcBorders>
              <w:top w:val="nil"/>
              <w:left w:val="single" w:color="000000" w:sz="8" w:space="0"/>
              <w:bottom w:val="single" w:color="000000"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2.5</w:t>
            </w: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0.98</w:t>
            </w:r>
          </w:p>
        </w:tc>
        <w:tc>
          <w:tcPr>
            <w:tcW w:w="1418"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86.0%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0.13</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0.14</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nil"/>
              <w:left w:val="single" w:color="000000" w:sz="8" w:space="0"/>
              <w:bottom w:val="single" w:color="000000" w:sz="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0.50</w:t>
            </w:r>
          </w:p>
        </w:tc>
        <w:tc>
          <w:tcPr>
            <w:tcW w:w="141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86.0%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0.19</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0.13</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nil"/>
              <w:left w:val="single" w:color="000000" w:sz="8" w:space="0"/>
              <w:bottom w:val="single" w:color="000000" w:sz="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0.10</w:t>
            </w:r>
          </w:p>
        </w:tc>
        <w:tc>
          <w:tcPr>
            <w:tcW w:w="1418"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85.0%</w:t>
            </w:r>
          </w:p>
        </w:tc>
        <w:tc>
          <w:tcPr>
            <w:tcW w:w="1276"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0.19</w:t>
            </w:r>
          </w:p>
        </w:tc>
        <w:tc>
          <w:tcPr>
            <w:tcW w:w="1320" w:type="dxa"/>
            <w:tcBorders>
              <w:top w:val="nil"/>
              <w:left w:val="nil"/>
              <w:bottom w:val="single" w:color="auto"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0.13</w:t>
            </w:r>
          </w:p>
        </w:tc>
      </w:tr>
      <w:tr>
        <w:tblPrEx>
          <w:tblLayout w:type="fixed"/>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restart"/>
            <w:tcBorders>
              <w:top w:val="nil"/>
              <w:left w:val="single" w:color="000000" w:sz="8" w:space="0"/>
              <w:bottom w:val="single" w:color="000000"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1</w:t>
            </w: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0.98</w:t>
            </w:r>
          </w:p>
        </w:tc>
        <w:tc>
          <w:tcPr>
            <w:tcW w:w="141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86.0%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0.13</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0.14</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nil"/>
              <w:left w:val="single" w:color="000000" w:sz="8" w:space="0"/>
              <w:bottom w:val="single" w:color="000000" w:sz="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0.50</w:t>
            </w:r>
          </w:p>
        </w:tc>
        <w:tc>
          <w:tcPr>
            <w:tcW w:w="141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85.0%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0.19</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0.13</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nil"/>
              <w:left w:val="single" w:color="000000" w:sz="8" w:space="0"/>
              <w:bottom w:val="single" w:color="000000" w:sz="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0.10</w:t>
            </w:r>
          </w:p>
        </w:tc>
        <w:tc>
          <w:tcPr>
            <w:tcW w:w="1418"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1.0%</w:t>
            </w:r>
          </w:p>
        </w:tc>
        <w:tc>
          <w:tcPr>
            <w:tcW w:w="1417"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83.0%</w:t>
            </w:r>
          </w:p>
        </w:tc>
        <w:tc>
          <w:tcPr>
            <w:tcW w:w="1276"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0.19</w:t>
            </w:r>
          </w:p>
        </w:tc>
        <w:tc>
          <w:tcPr>
            <w:tcW w:w="1320" w:type="dxa"/>
            <w:tcBorders>
              <w:top w:val="nil"/>
              <w:left w:val="nil"/>
              <w:bottom w:val="single" w:color="auto"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0.12</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restart"/>
            <w:tcBorders>
              <w:top w:val="single" w:color="000000" w:sz="8" w:space="0"/>
              <w:left w:val="single" w:color="000000" w:sz="8" w:space="0"/>
              <w:bottom w:val="single" w:color="auto" w:sz="1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w:t>
            </w: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0.98</w:t>
            </w:r>
          </w:p>
        </w:tc>
        <w:tc>
          <w:tcPr>
            <w:tcW w:w="141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86.0%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0.19</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0.13</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single" w:color="000000" w:sz="8" w:space="0"/>
              <w:left w:val="single" w:color="000000" w:sz="8" w:space="0"/>
              <w:bottom w:val="single" w:color="auto" w:sz="1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0.50</w:t>
            </w:r>
          </w:p>
        </w:tc>
        <w:tc>
          <w:tcPr>
            <w:tcW w:w="141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1.0%</w:t>
            </w:r>
          </w:p>
        </w:tc>
        <w:tc>
          <w:tcPr>
            <w:tcW w:w="141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80.0%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0.13</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0.13</w:t>
            </w:r>
          </w:p>
        </w:tc>
      </w:tr>
      <w:tr>
        <w:tblPrEx>
          <w:tblLayout w:type="fixed"/>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single" w:color="000000" w:sz="8" w:space="0"/>
              <w:left w:val="single" w:color="000000" w:sz="8" w:space="0"/>
              <w:bottom w:val="single" w:color="auto" w:sz="1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1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0.10</w:t>
            </w:r>
          </w:p>
        </w:tc>
        <w:tc>
          <w:tcPr>
            <w:tcW w:w="1418"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29.0%</w:t>
            </w:r>
          </w:p>
        </w:tc>
        <w:tc>
          <w:tcPr>
            <w:tcW w:w="1417"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78.0%</w:t>
            </w:r>
          </w:p>
        </w:tc>
        <w:tc>
          <w:tcPr>
            <w:tcW w:w="1276"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0.19</w:t>
            </w:r>
          </w:p>
        </w:tc>
        <w:tc>
          <w:tcPr>
            <w:tcW w:w="1320" w:type="dxa"/>
            <w:tcBorders>
              <w:top w:val="nil"/>
              <w:left w:val="nil"/>
              <w:bottom w:val="single" w:color="auto" w:sz="1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w:t>
            </w:r>
          </w:p>
        </w:tc>
      </w:tr>
      <w:tr>
        <w:tblPrEx>
          <w:tblLayout w:type="fixed"/>
          <w:tblCellMar>
            <w:top w:w="0" w:type="dxa"/>
            <w:left w:w="108" w:type="dxa"/>
            <w:bottom w:w="0" w:type="dxa"/>
            <w:right w:w="108" w:type="dxa"/>
          </w:tblCellMar>
        </w:tblPrEx>
        <w:trPr>
          <w:trHeight w:val="320" w:hRule="atLeast"/>
        </w:trPr>
        <w:tc>
          <w:tcPr>
            <w:tcW w:w="959" w:type="dxa"/>
            <w:vMerge w:val="restart"/>
            <w:tcBorders>
              <w:top w:val="single" w:color="auto" w:sz="18" w:space="0"/>
              <w:left w:val="single" w:color="000000" w:sz="8" w:space="0"/>
              <w:bottom w:val="single" w:color="auto" w:sz="18" w:space="0"/>
              <w:right w:val="single" w:color="000000" w:sz="8" w:space="0"/>
            </w:tcBorders>
            <w:shd w:val="clear" w:color="auto" w:fill="auto"/>
            <w:noWrap/>
            <w:textDirection w:val="btLr"/>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Common guillemot</w:t>
            </w:r>
          </w:p>
        </w:tc>
        <w:tc>
          <w:tcPr>
            <w:tcW w:w="925" w:type="dxa"/>
            <w:vMerge w:val="restart"/>
            <w:tcBorders>
              <w:top w:val="single" w:color="auto" w:sz="18" w:space="0"/>
              <w:left w:val="single" w:color="000000" w:sz="8" w:space="0"/>
              <w:bottom w:val="single" w:color="000000"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2.5</w:t>
            </w:r>
          </w:p>
        </w:tc>
        <w:tc>
          <w:tcPr>
            <w:tcW w:w="1201" w:type="dxa"/>
            <w:tcBorders>
              <w:top w:val="single" w:color="auto" w:sz="18" w:space="0"/>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0.98</w:t>
            </w:r>
          </w:p>
        </w:tc>
        <w:tc>
          <w:tcPr>
            <w:tcW w:w="1418"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81.0%</w:t>
            </w:r>
          </w:p>
        </w:tc>
        <w:tc>
          <w:tcPr>
            <w:tcW w:w="1276"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w:t>
            </w:r>
          </w:p>
        </w:tc>
        <w:tc>
          <w:tcPr>
            <w:tcW w:w="1320" w:type="dxa"/>
            <w:tcBorders>
              <w:top w:val="single" w:color="auto" w:sz="18" w:space="0"/>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0.19</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nil"/>
              <w:left w:val="single" w:color="000000" w:sz="8" w:space="0"/>
              <w:bottom w:val="single" w:color="000000" w:sz="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0.50</w:t>
            </w:r>
          </w:p>
        </w:tc>
        <w:tc>
          <w:tcPr>
            <w:tcW w:w="141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81.0%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0.19</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nil"/>
              <w:left w:val="single" w:color="000000" w:sz="8" w:space="0"/>
              <w:bottom w:val="single" w:color="000000" w:sz="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0.10</w:t>
            </w:r>
          </w:p>
        </w:tc>
        <w:tc>
          <w:tcPr>
            <w:tcW w:w="1418"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80.0%</w:t>
            </w:r>
          </w:p>
        </w:tc>
        <w:tc>
          <w:tcPr>
            <w:tcW w:w="1276"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0.18</w:t>
            </w:r>
          </w:p>
        </w:tc>
        <w:tc>
          <w:tcPr>
            <w:tcW w:w="1320" w:type="dxa"/>
            <w:tcBorders>
              <w:top w:val="nil"/>
              <w:left w:val="nil"/>
              <w:bottom w:val="single" w:color="auto"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0.18</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restart"/>
            <w:tcBorders>
              <w:top w:val="nil"/>
              <w:left w:val="single" w:color="000000" w:sz="8" w:space="0"/>
              <w:bottom w:val="single" w:color="000000"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1</w:t>
            </w: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0.98</w:t>
            </w:r>
          </w:p>
        </w:tc>
        <w:tc>
          <w:tcPr>
            <w:tcW w:w="141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81.0%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0.19</w:t>
            </w:r>
          </w:p>
        </w:tc>
      </w:tr>
      <w:tr>
        <w:tblPrEx>
          <w:tblLayout w:type="fixed"/>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nil"/>
              <w:left w:val="single" w:color="000000" w:sz="8" w:space="0"/>
              <w:bottom w:val="single" w:color="000000" w:sz="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0.50</w:t>
            </w:r>
          </w:p>
        </w:tc>
        <w:tc>
          <w:tcPr>
            <w:tcW w:w="141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80.0%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0.02</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0.18</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nil"/>
              <w:left w:val="single" w:color="000000" w:sz="8" w:space="0"/>
              <w:bottom w:val="single" w:color="000000" w:sz="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0.10</w:t>
            </w:r>
          </w:p>
        </w:tc>
        <w:tc>
          <w:tcPr>
            <w:tcW w:w="1418"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2.0%</w:t>
            </w:r>
          </w:p>
        </w:tc>
        <w:tc>
          <w:tcPr>
            <w:tcW w:w="1417"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77.0%</w:t>
            </w:r>
          </w:p>
        </w:tc>
        <w:tc>
          <w:tcPr>
            <w:tcW w:w="1276"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0.05</w:t>
            </w:r>
          </w:p>
        </w:tc>
        <w:tc>
          <w:tcPr>
            <w:tcW w:w="1320" w:type="dxa"/>
            <w:tcBorders>
              <w:top w:val="nil"/>
              <w:left w:val="nil"/>
              <w:bottom w:val="single" w:color="auto"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0.17</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restart"/>
            <w:tcBorders>
              <w:top w:val="single" w:color="000000" w:sz="8" w:space="0"/>
              <w:left w:val="single" w:color="000000" w:sz="8" w:space="0"/>
              <w:bottom w:val="single" w:color="auto" w:sz="1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w:t>
            </w: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0.98</w:t>
            </w:r>
          </w:p>
        </w:tc>
        <w:tc>
          <w:tcPr>
            <w:tcW w:w="141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81.0%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0.19</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single" w:color="000000" w:sz="8" w:space="0"/>
              <w:left w:val="single" w:color="000000" w:sz="8" w:space="0"/>
              <w:bottom w:val="single" w:color="auto" w:sz="1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0.50</w:t>
            </w:r>
          </w:p>
        </w:tc>
        <w:tc>
          <w:tcPr>
            <w:tcW w:w="141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77.0%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0.04</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0.18</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single" w:color="000000" w:sz="8" w:space="0"/>
              <w:left w:val="single" w:color="000000" w:sz="8" w:space="0"/>
              <w:bottom w:val="single" w:color="auto" w:sz="1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single" w:color="000000" w:sz="8" w:space="0"/>
              <w:left w:val="single" w:color="000000" w:sz="8" w:space="0"/>
              <w:bottom w:val="single" w:color="auto" w:sz="1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1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0.10</w:t>
            </w:r>
          </w:p>
        </w:tc>
        <w:tc>
          <w:tcPr>
            <w:tcW w:w="1418"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2.0%</w:t>
            </w:r>
          </w:p>
        </w:tc>
        <w:tc>
          <w:tcPr>
            <w:tcW w:w="1417"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77.0%</w:t>
            </w:r>
          </w:p>
        </w:tc>
        <w:tc>
          <w:tcPr>
            <w:tcW w:w="1276" w:type="dxa"/>
            <w:tcBorders>
              <w:top w:val="nil"/>
              <w:left w:val="nil"/>
              <w:bottom w:val="single" w:color="auto" w:sz="1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0.47</w:t>
            </w:r>
          </w:p>
        </w:tc>
        <w:tc>
          <w:tcPr>
            <w:tcW w:w="1320" w:type="dxa"/>
            <w:tcBorders>
              <w:top w:val="nil"/>
              <w:left w:val="nil"/>
              <w:bottom w:val="single" w:color="auto" w:sz="1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0.17</w:t>
            </w:r>
          </w:p>
        </w:tc>
      </w:tr>
      <w:tr>
        <w:tblPrEx>
          <w:tblLayout w:type="fixed"/>
        </w:tblPrEx>
        <w:trPr>
          <w:trHeight w:val="320" w:hRule="atLeast"/>
        </w:trPr>
        <w:tc>
          <w:tcPr>
            <w:tcW w:w="959" w:type="dxa"/>
            <w:vMerge w:val="restart"/>
            <w:tcBorders>
              <w:top w:val="single" w:color="auto" w:sz="18" w:space="0"/>
              <w:left w:val="single" w:color="000000" w:sz="8" w:space="0"/>
              <w:bottom w:val="single" w:color="000000" w:sz="8" w:space="0"/>
              <w:right w:val="single" w:color="000000" w:sz="8" w:space="0"/>
            </w:tcBorders>
            <w:shd w:val="clear" w:color="auto" w:fill="auto"/>
            <w:noWrap/>
            <w:textDirection w:val="btLr"/>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Razorbill</w:t>
            </w:r>
          </w:p>
        </w:tc>
        <w:tc>
          <w:tcPr>
            <w:tcW w:w="925" w:type="dxa"/>
            <w:vMerge w:val="restart"/>
            <w:tcBorders>
              <w:top w:val="single" w:color="auto" w:sz="18" w:space="0"/>
              <w:left w:val="single" w:color="000000" w:sz="8" w:space="0"/>
              <w:bottom w:val="single" w:color="000000"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2.5</w:t>
            </w:r>
          </w:p>
        </w:tc>
        <w:tc>
          <w:tcPr>
            <w:tcW w:w="1201" w:type="dxa"/>
            <w:tcBorders>
              <w:top w:val="single" w:color="auto" w:sz="18" w:space="0"/>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0.98</w:t>
            </w:r>
          </w:p>
        </w:tc>
        <w:tc>
          <w:tcPr>
            <w:tcW w:w="1418"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86.0%</w:t>
            </w:r>
          </w:p>
        </w:tc>
        <w:tc>
          <w:tcPr>
            <w:tcW w:w="1276" w:type="dxa"/>
            <w:tcBorders>
              <w:top w:val="single" w:color="auto" w:sz="18" w:space="0"/>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w:t>
            </w:r>
          </w:p>
        </w:tc>
        <w:tc>
          <w:tcPr>
            <w:tcW w:w="1320" w:type="dxa"/>
            <w:tcBorders>
              <w:top w:val="single" w:color="auto" w:sz="18" w:space="0"/>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0.14</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nil"/>
              <w:left w:val="single" w:color="000000" w:sz="8" w:space="0"/>
              <w:bottom w:val="single" w:color="000000" w:sz="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nil"/>
              <w:left w:val="single" w:color="000000" w:sz="8" w:space="0"/>
              <w:bottom w:val="single" w:color="000000" w:sz="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0.50</w:t>
            </w:r>
          </w:p>
        </w:tc>
        <w:tc>
          <w:tcPr>
            <w:tcW w:w="141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1.0%</w:t>
            </w:r>
          </w:p>
        </w:tc>
        <w:tc>
          <w:tcPr>
            <w:tcW w:w="141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81.0%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0.45</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0.14</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nil"/>
              <w:left w:val="single" w:color="000000" w:sz="8" w:space="0"/>
              <w:bottom w:val="single" w:color="000000" w:sz="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nil"/>
              <w:left w:val="single" w:color="000000" w:sz="8" w:space="0"/>
              <w:bottom w:val="single" w:color="000000" w:sz="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0.10</w:t>
            </w:r>
          </w:p>
        </w:tc>
        <w:tc>
          <w:tcPr>
            <w:tcW w:w="1418"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2.0%</w:t>
            </w:r>
          </w:p>
        </w:tc>
        <w:tc>
          <w:tcPr>
            <w:tcW w:w="1417"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76.0%</w:t>
            </w:r>
          </w:p>
        </w:tc>
        <w:tc>
          <w:tcPr>
            <w:tcW w:w="1276"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0.09</w:t>
            </w:r>
          </w:p>
        </w:tc>
        <w:tc>
          <w:tcPr>
            <w:tcW w:w="1320" w:type="dxa"/>
            <w:tcBorders>
              <w:top w:val="nil"/>
              <w:left w:val="nil"/>
              <w:bottom w:val="single" w:color="auto"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0.13</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nil"/>
              <w:left w:val="single" w:color="000000" w:sz="8" w:space="0"/>
              <w:bottom w:val="single" w:color="000000" w:sz="8" w:space="0"/>
              <w:right w:val="single" w:color="000000" w:sz="8" w:space="0"/>
            </w:tcBorders>
            <w:vAlign w:val="center"/>
          </w:tcPr>
          <w:p>
            <w:pPr>
              <w:rPr>
                <w:rFonts w:ascii="Arial" w:hAnsi="Arial" w:eastAsia="Times New Roman" w:cs="Arial"/>
                <w:color w:val="000000"/>
                <w:sz w:val="18"/>
                <w:szCs w:val="18"/>
              </w:rPr>
            </w:pPr>
          </w:p>
        </w:tc>
        <w:tc>
          <w:tcPr>
            <w:tcW w:w="925" w:type="dxa"/>
            <w:vMerge w:val="restart"/>
            <w:tcBorders>
              <w:top w:val="nil"/>
              <w:left w:val="single" w:color="000000" w:sz="8" w:space="0"/>
              <w:bottom w:val="single" w:color="000000"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1</w:t>
            </w: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0.98</w:t>
            </w:r>
          </w:p>
        </w:tc>
        <w:tc>
          <w:tcPr>
            <w:tcW w:w="141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85.0%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0.14</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nil"/>
              <w:left w:val="single" w:color="000000" w:sz="8" w:space="0"/>
              <w:bottom w:val="single" w:color="000000" w:sz="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nil"/>
              <w:left w:val="single" w:color="000000" w:sz="8" w:space="0"/>
              <w:bottom w:val="single" w:color="000000" w:sz="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0.50</w:t>
            </w:r>
          </w:p>
        </w:tc>
        <w:tc>
          <w:tcPr>
            <w:tcW w:w="141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1.0%</w:t>
            </w:r>
          </w:p>
        </w:tc>
        <w:tc>
          <w:tcPr>
            <w:tcW w:w="141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80.0%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0.06</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0.13</w:t>
            </w:r>
          </w:p>
        </w:tc>
      </w:tr>
      <w:tr>
        <w:tblPrEx>
          <w:tblLayout w:type="fixed"/>
        </w:tblPrEx>
        <w:trPr>
          <w:trHeight w:val="320" w:hRule="atLeast"/>
        </w:trPr>
        <w:tc>
          <w:tcPr>
            <w:tcW w:w="959" w:type="dxa"/>
            <w:vMerge w:val="continue"/>
            <w:tcBorders>
              <w:top w:val="nil"/>
              <w:left w:val="single" w:color="000000" w:sz="8" w:space="0"/>
              <w:bottom w:val="single" w:color="000000" w:sz="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nil"/>
              <w:left w:val="single" w:color="000000" w:sz="8" w:space="0"/>
              <w:bottom w:val="single" w:color="000000" w:sz="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0.10</w:t>
            </w:r>
          </w:p>
        </w:tc>
        <w:tc>
          <w:tcPr>
            <w:tcW w:w="1418"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3.0%</w:t>
            </w:r>
          </w:p>
        </w:tc>
        <w:tc>
          <w:tcPr>
            <w:tcW w:w="1417"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72.0%</w:t>
            </w:r>
          </w:p>
        </w:tc>
        <w:tc>
          <w:tcPr>
            <w:tcW w:w="1276"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0.13</w:t>
            </w:r>
          </w:p>
        </w:tc>
        <w:tc>
          <w:tcPr>
            <w:tcW w:w="1320" w:type="dxa"/>
            <w:tcBorders>
              <w:top w:val="nil"/>
              <w:left w:val="nil"/>
              <w:bottom w:val="single" w:color="auto"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0.11</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nil"/>
              <w:left w:val="single" w:color="000000" w:sz="8" w:space="0"/>
              <w:bottom w:val="single" w:color="000000" w:sz="8" w:space="0"/>
              <w:right w:val="single" w:color="000000" w:sz="8" w:space="0"/>
            </w:tcBorders>
            <w:vAlign w:val="center"/>
          </w:tcPr>
          <w:p>
            <w:pPr>
              <w:rPr>
                <w:rFonts w:ascii="Arial" w:hAnsi="Arial" w:eastAsia="Times New Roman" w:cs="Arial"/>
                <w:color w:val="000000"/>
                <w:sz w:val="18"/>
                <w:szCs w:val="18"/>
              </w:rPr>
            </w:pPr>
          </w:p>
        </w:tc>
        <w:tc>
          <w:tcPr>
            <w:tcW w:w="925" w:type="dxa"/>
            <w:vMerge w:val="restart"/>
            <w:tcBorders>
              <w:top w:val="nil"/>
              <w:left w:val="single" w:color="000000" w:sz="8" w:space="0"/>
              <w:bottom w:val="single" w:color="000000"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w:t>
            </w: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0.98</w:t>
            </w:r>
          </w:p>
        </w:tc>
        <w:tc>
          <w:tcPr>
            <w:tcW w:w="141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w:t>
            </w:r>
          </w:p>
        </w:tc>
        <w:tc>
          <w:tcPr>
            <w:tcW w:w="141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85.0%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0.14</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nil"/>
              <w:left w:val="single" w:color="000000" w:sz="8" w:space="0"/>
              <w:bottom w:val="single" w:color="000000" w:sz="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nil"/>
              <w:left w:val="single" w:color="000000" w:sz="8" w:space="0"/>
              <w:bottom w:val="single" w:color="000000" w:sz="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0.50</w:t>
            </w:r>
          </w:p>
        </w:tc>
        <w:tc>
          <w:tcPr>
            <w:tcW w:w="1418"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1.0%</w:t>
            </w:r>
          </w:p>
        </w:tc>
        <w:tc>
          <w:tcPr>
            <w:tcW w:w="1417"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78.0%</w:t>
            </w:r>
          </w:p>
        </w:tc>
        <w:tc>
          <w:tcPr>
            <w:tcW w:w="1276" w:type="dxa"/>
            <w:tcBorders>
              <w:top w:val="nil"/>
              <w:left w:val="nil"/>
              <w:bottom w:val="nil"/>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0.08</w:t>
            </w:r>
          </w:p>
        </w:tc>
        <w:tc>
          <w:tcPr>
            <w:tcW w:w="1320" w:type="dxa"/>
            <w:tcBorders>
              <w:top w:val="nil"/>
              <w:left w:val="nil"/>
              <w:bottom w:val="nil"/>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0.13</w:t>
            </w:r>
          </w:p>
        </w:tc>
      </w:tr>
      <w:tr>
        <w:tblPrEx>
          <w:tblLayout w:type="fixed"/>
          <w:tblCellMar>
            <w:top w:w="0" w:type="dxa"/>
            <w:left w:w="108" w:type="dxa"/>
            <w:bottom w:w="0" w:type="dxa"/>
            <w:right w:w="108" w:type="dxa"/>
          </w:tblCellMar>
        </w:tblPrEx>
        <w:trPr>
          <w:trHeight w:val="320" w:hRule="atLeast"/>
        </w:trPr>
        <w:tc>
          <w:tcPr>
            <w:tcW w:w="959" w:type="dxa"/>
            <w:vMerge w:val="continue"/>
            <w:tcBorders>
              <w:top w:val="nil"/>
              <w:left w:val="single" w:color="000000" w:sz="8" w:space="0"/>
              <w:bottom w:val="single" w:color="000000" w:sz="8" w:space="0"/>
              <w:right w:val="single" w:color="000000" w:sz="8" w:space="0"/>
            </w:tcBorders>
            <w:vAlign w:val="center"/>
          </w:tcPr>
          <w:p>
            <w:pPr>
              <w:rPr>
                <w:rFonts w:ascii="Arial" w:hAnsi="Arial" w:eastAsia="Times New Roman" w:cs="Arial"/>
                <w:color w:val="000000"/>
                <w:sz w:val="18"/>
                <w:szCs w:val="18"/>
              </w:rPr>
            </w:pPr>
          </w:p>
        </w:tc>
        <w:tc>
          <w:tcPr>
            <w:tcW w:w="925" w:type="dxa"/>
            <w:vMerge w:val="continue"/>
            <w:tcBorders>
              <w:top w:val="nil"/>
              <w:left w:val="single" w:color="000000" w:sz="8" w:space="0"/>
              <w:bottom w:val="single" w:color="000000" w:sz="8" w:space="0"/>
              <w:right w:val="single" w:color="auto" w:sz="8" w:space="0"/>
            </w:tcBorders>
            <w:vAlign w:val="center"/>
          </w:tcPr>
          <w:p>
            <w:pPr>
              <w:rPr>
                <w:rFonts w:ascii="Arial" w:hAnsi="Arial" w:eastAsia="Times New Roman" w:cs="Arial"/>
                <w:color w:val="000000"/>
                <w:sz w:val="18"/>
                <w:szCs w:val="18"/>
              </w:rPr>
            </w:pPr>
          </w:p>
        </w:tc>
        <w:tc>
          <w:tcPr>
            <w:tcW w:w="1201" w:type="dxa"/>
            <w:tcBorders>
              <w:top w:val="nil"/>
              <w:left w:val="nil"/>
              <w:bottom w:val="single" w:color="auto" w:sz="8" w:space="0"/>
              <w:right w:val="single" w:color="auto" w:sz="8" w:space="0"/>
            </w:tcBorders>
            <w:shd w:val="clear" w:color="auto" w:fill="auto"/>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0.10</w:t>
            </w:r>
          </w:p>
        </w:tc>
        <w:tc>
          <w:tcPr>
            <w:tcW w:w="1418"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5.0%</w:t>
            </w:r>
          </w:p>
        </w:tc>
        <w:tc>
          <w:tcPr>
            <w:tcW w:w="1417"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66.0%</w:t>
            </w:r>
          </w:p>
        </w:tc>
        <w:tc>
          <w:tcPr>
            <w:tcW w:w="1276" w:type="dxa"/>
            <w:tcBorders>
              <w:top w:val="nil"/>
              <w:left w:val="nil"/>
              <w:bottom w:val="single" w:color="auto" w:sz="8" w:space="0"/>
              <w:right w:val="nil"/>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0.19</w:t>
            </w:r>
          </w:p>
        </w:tc>
        <w:tc>
          <w:tcPr>
            <w:tcW w:w="1320" w:type="dxa"/>
            <w:tcBorders>
              <w:top w:val="nil"/>
              <w:left w:val="nil"/>
              <w:bottom w:val="single" w:color="auto" w:sz="8" w:space="0"/>
              <w:right w:val="single" w:color="auto" w:sz="8" w:space="0"/>
            </w:tcBorders>
            <w:shd w:val="clear" w:color="auto" w:fill="auto"/>
            <w:noWrap/>
            <w:vAlign w:val="center"/>
          </w:tcPr>
          <w:p>
            <w:pPr>
              <w:jc w:val="center"/>
              <w:rPr>
                <w:rFonts w:ascii="Arial" w:hAnsi="Arial" w:eastAsia="Times New Roman" w:cs="Arial"/>
                <w:color w:val="000000"/>
                <w:sz w:val="18"/>
                <w:szCs w:val="18"/>
              </w:rPr>
            </w:pPr>
            <w:r>
              <w:rPr>
                <w:rFonts w:ascii="Arial" w:hAnsi="Arial" w:eastAsia="Times New Roman" w:cs="Arial"/>
                <w:color w:val="000000"/>
                <w:sz w:val="18"/>
                <w:szCs w:val="18"/>
              </w:rPr>
              <w:t>0.1</w:t>
            </w:r>
          </w:p>
        </w:tc>
      </w:tr>
    </w:tbl>
    <w:p>
      <w:pPr>
        <w:rPr>
          <w:sz w:val="20"/>
          <w:szCs w:val="20"/>
        </w:rPr>
      </w:pPr>
    </w:p>
    <w:p/>
    <w:p>
      <w:pPr>
        <w:keepNext/>
        <w:jc w:val="both"/>
        <w:rPr>
          <w:rFonts w:ascii="Arial" w:hAnsi="Arial" w:cs="Arial"/>
          <w:sz w:val="20"/>
          <w:szCs w:val="20"/>
          <w:u w:val="single"/>
        </w:rPr>
      </w:pPr>
    </w:p>
    <w:p>
      <w:pPr>
        <w:keepNext/>
        <w:jc w:val="both"/>
      </w:pPr>
    </w:p>
    <w:p>
      <w:pPr>
        <w:keepNext/>
        <w:jc w:val="both"/>
      </w:pPr>
    </w:p>
    <w:p>
      <w:pPr>
        <w:keepNext/>
        <w:jc w:val="both"/>
      </w:pPr>
      <w:r>
        <w:br w:type="page"/>
      </w:r>
    </w:p>
    <w:p>
      <w:pPr>
        <w:keepNext/>
        <w:jc w:val="both"/>
        <w:sectPr>
          <w:type w:val="continuous"/>
          <w:pgSz w:w="11900" w:h="16840"/>
          <w:pgMar w:top="1440" w:right="1800" w:bottom="1440" w:left="1800" w:header="708" w:footer="708" w:gutter="0"/>
          <w:cols w:space="708" w:num="1"/>
          <w:docGrid w:linePitch="360" w:charSpace="0"/>
        </w:sectPr>
      </w:pPr>
    </w:p>
    <w:p>
      <w:pPr>
        <w:keepNext/>
        <w:jc w:val="both"/>
        <w:rPr>
          <w:rFonts w:ascii="Arial" w:hAnsi="Arial"/>
          <w:sz w:val="20"/>
          <w:u w:val="single"/>
        </w:rPr>
      </w:pPr>
    </w:p>
    <w:p>
      <w:pPr>
        <w:keepNext/>
        <w:jc w:val="both"/>
      </w:pPr>
    </w:p>
    <w:p>
      <w:pPr>
        <w:keepNext/>
        <w:jc w:val="both"/>
      </w:pPr>
      <w:r>
        <w:rPr>
          <w:lang w:val="en-US"/>
        </w:rPr>
        <w:drawing>
          <wp:inline distT="0" distB="0" distL="0" distR="0">
            <wp:extent cx="9078595" cy="2908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8">
                      <a:extLst>
                        <a:ext uri="{28A0092B-C50C-407E-A947-70E740481C1C}">
                          <a14:useLocalDpi xmlns:a14="http://schemas.microsoft.com/office/drawing/2010/main" val="0"/>
                        </a:ext>
                      </a:extLst>
                    </a:blip>
                    <a:srcRect r="-271"/>
                    <a:stretch>
                      <a:fillRect/>
                    </a:stretch>
                  </pic:blipFill>
                  <pic:spPr>
                    <a:xfrm>
                      <a:off x="0" y="0"/>
                      <a:ext cx="9079404" cy="2908414"/>
                    </a:xfrm>
                    <a:prstGeom prst="rect">
                      <a:avLst/>
                    </a:prstGeom>
                    <a:ln>
                      <a:noFill/>
                    </a:ln>
                  </pic:spPr>
                </pic:pic>
              </a:graphicData>
            </a:graphic>
          </wp:inline>
        </w:drawing>
      </w:r>
    </w:p>
    <w:p>
      <w:pPr>
        <w:pStyle w:val="3"/>
        <w:jc w:val="both"/>
        <w:rPr>
          <w:rFonts w:ascii="Arial" w:hAnsi="Arial"/>
          <w:color w:val="auto"/>
        </w:rPr>
      </w:pPr>
      <w:r>
        <w:rPr>
          <w:rFonts w:ascii="Arial" w:hAnsi="Arial"/>
          <w:color w:val="auto"/>
        </w:rPr>
        <w:t>Figure S8.1: Plots showing how speed changes with tortuosity at locations where the TDR devices did not record dives &gt; 3m (red) and where dives were recorded &gt; 3m (blue). Low tortuosity indicates directed flight; the closer the value is to one, the more tortuous the path.</w:t>
      </w:r>
    </w:p>
    <w:p>
      <w:pPr>
        <w:widowControl w:val="0"/>
        <w:autoSpaceDE w:val="0"/>
        <w:autoSpaceDN w:val="0"/>
        <w:adjustRightInd w:val="0"/>
        <w:spacing w:line="360" w:lineRule="auto"/>
        <w:rPr>
          <w:rFonts w:ascii="Arial" w:hAnsi="Arial" w:cs="Arial"/>
          <w:sz w:val="20"/>
        </w:rPr>
      </w:pPr>
    </w:p>
    <w:p>
      <w:pPr>
        <w:rPr>
          <w:rFonts w:ascii="Arial" w:hAnsi="Arial" w:cs="Arial"/>
          <w:sz w:val="20"/>
        </w:rPr>
      </w:pPr>
      <w:r>
        <w:rPr>
          <w:rFonts w:ascii="Arial" w:hAnsi="Arial" w:cs="Arial"/>
          <w:sz w:val="20"/>
        </w:rPr>
        <w:br w:type="page"/>
      </w:r>
    </w:p>
    <w:p>
      <w:pPr>
        <w:widowControl w:val="0"/>
        <w:autoSpaceDE w:val="0"/>
        <w:autoSpaceDN w:val="0"/>
        <w:adjustRightInd w:val="0"/>
        <w:spacing w:line="360" w:lineRule="auto"/>
        <w:rPr>
          <w:rFonts w:ascii="Arial" w:hAnsi="Arial" w:cs="Arial"/>
          <w:b/>
          <w:i/>
          <w:sz w:val="20"/>
        </w:rPr>
        <w:sectPr>
          <w:pgSz w:w="16840" w:h="11900" w:orient="landscape"/>
          <w:pgMar w:top="1800" w:right="1440" w:bottom="1800" w:left="1440" w:header="708" w:footer="708" w:gutter="0"/>
          <w:cols w:space="708" w:num="1"/>
          <w:docGrid w:linePitch="360" w:charSpace="0"/>
        </w:sectPr>
      </w:pPr>
    </w:p>
    <w:p>
      <w:pPr>
        <w:widowControl w:val="0"/>
        <w:autoSpaceDE w:val="0"/>
        <w:autoSpaceDN w:val="0"/>
        <w:adjustRightInd w:val="0"/>
        <w:spacing w:line="360" w:lineRule="auto"/>
        <w:rPr>
          <w:rFonts w:ascii="Arial" w:hAnsi="Arial" w:cs="Arial"/>
          <w:b/>
          <w:i/>
          <w:sz w:val="20"/>
        </w:rPr>
      </w:pPr>
      <w:r>
        <w:rPr>
          <w:rFonts w:ascii="Arial" w:hAnsi="Arial" w:cs="Arial"/>
          <w:b/>
          <w:i/>
          <w:sz w:val="20"/>
        </w:rPr>
        <w:t>Supporting information references</w:t>
      </w:r>
    </w:p>
    <w:p>
      <w:pPr>
        <w:widowControl w:val="0"/>
        <w:autoSpaceDE w:val="0"/>
        <w:autoSpaceDN w:val="0"/>
        <w:adjustRightInd w:val="0"/>
        <w:spacing w:line="360" w:lineRule="auto"/>
        <w:rPr>
          <w:rFonts w:ascii="Arial" w:hAnsi="Arial" w:cs="Arial"/>
          <w:sz w:val="20"/>
        </w:rPr>
      </w:pPr>
    </w:p>
    <w:p>
      <w:pPr>
        <w:widowControl w:val="0"/>
        <w:autoSpaceDE w:val="0"/>
        <w:autoSpaceDN w:val="0"/>
        <w:adjustRightInd w:val="0"/>
        <w:spacing w:line="480" w:lineRule="auto"/>
        <w:rPr>
          <w:rFonts w:ascii="Arial" w:hAnsi="Arial" w:cs="Arial"/>
          <w:sz w:val="20"/>
          <w:lang w:val="en-US"/>
        </w:rPr>
      </w:pPr>
      <w:r>
        <w:rPr>
          <w:rFonts w:ascii="Arial" w:hAnsi="Arial" w:cs="Arial"/>
          <w:sz w:val="20"/>
        </w:rPr>
        <w:fldChar w:fldCharType="begin" w:fldLock="1"/>
      </w:r>
      <w:r>
        <w:rPr>
          <w:rFonts w:ascii="Arial" w:hAnsi="Arial" w:cs="Arial"/>
          <w:sz w:val="20"/>
        </w:rPr>
        <w:instrText xml:space="preserve">ADDIN Mendeley Bibliography CSL_BIBLIOGRAPHY </w:instrText>
      </w:r>
      <w:r>
        <w:rPr>
          <w:rFonts w:ascii="Arial" w:hAnsi="Arial" w:cs="Arial"/>
          <w:sz w:val="20"/>
        </w:rPr>
        <w:fldChar w:fldCharType="separate"/>
      </w:r>
      <w:r>
        <w:rPr>
          <w:rFonts w:ascii="Arial" w:hAnsi="Arial" w:cs="Arial"/>
          <w:sz w:val="20"/>
          <w:lang w:val="en-US"/>
        </w:rPr>
        <w:t>Hijmans RJ (2015) geosphere: Spherical Trigonometry. R package version 1.3-13.</w:t>
      </w:r>
    </w:p>
    <w:p>
      <w:pPr>
        <w:widowControl w:val="0"/>
        <w:autoSpaceDE w:val="0"/>
        <w:autoSpaceDN w:val="0"/>
        <w:adjustRightInd w:val="0"/>
        <w:spacing w:line="480" w:lineRule="auto"/>
        <w:rPr>
          <w:rFonts w:ascii="Arial" w:hAnsi="Arial" w:cs="Arial"/>
          <w:sz w:val="20"/>
        </w:rPr>
      </w:pPr>
      <w:r>
        <w:rPr>
          <w:rFonts w:ascii="Arial" w:hAnsi="Arial" w:cs="Arial"/>
          <w:sz w:val="20"/>
          <w:lang w:val="en-US"/>
        </w:rPr>
        <w:t xml:space="preserve">Tremblay Y, Shaffer SA, Fowler SL, Kuhn CE, McDonald BI, Weise MJ et al. (2006) Interpolation of animal tracking data in a fluid environment. </w:t>
      </w:r>
      <w:r>
        <w:rPr>
          <w:rFonts w:ascii="Arial" w:hAnsi="Arial" w:cs="Arial"/>
          <w:i/>
          <w:iCs/>
          <w:sz w:val="20"/>
          <w:lang w:val="en-US"/>
        </w:rPr>
        <w:t xml:space="preserve">Journal of Experimental Biology </w:t>
      </w:r>
      <w:r>
        <w:rPr>
          <w:rFonts w:ascii="Arial" w:hAnsi="Arial" w:cs="Arial"/>
          <w:sz w:val="20"/>
          <w:lang w:val="en-US"/>
        </w:rPr>
        <w:t xml:space="preserve"> 209: 128–140.</w:t>
      </w:r>
    </w:p>
    <w:p>
      <w:pPr>
        <w:widowControl w:val="0"/>
        <w:autoSpaceDE w:val="0"/>
        <w:autoSpaceDN w:val="0"/>
        <w:adjustRightInd w:val="0"/>
        <w:spacing w:line="480" w:lineRule="auto"/>
        <w:rPr>
          <w:rFonts w:ascii="Arial" w:hAnsi="Arial" w:cs="Arial"/>
          <w:sz w:val="20"/>
        </w:rPr>
      </w:pPr>
      <w:r>
        <w:rPr>
          <w:rFonts w:ascii="Arial" w:hAnsi="Arial" w:cs="Arial"/>
          <w:sz w:val="20"/>
        </w:rPr>
        <w:fldChar w:fldCharType="end"/>
      </w:r>
    </w:p>
    <w:p>
      <w:pPr>
        <w:widowControl w:val="0"/>
        <w:autoSpaceDE w:val="0"/>
        <w:autoSpaceDN w:val="0"/>
        <w:adjustRightInd w:val="0"/>
        <w:spacing w:line="360" w:lineRule="auto"/>
        <w:rPr>
          <w:rFonts w:ascii="Arial" w:hAnsi="Arial" w:cs="Arial"/>
          <w:sz w:val="20"/>
        </w:rPr>
      </w:pPr>
    </w:p>
    <w:sectPr>
      <w:pgSz w:w="11900" w:h="16840"/>
      <w:pgMar w:top="1440" w:right="1800" w:bottom="1440" w:left="1800" w:header="708" w:footer="708" w:gutter="0"/>
      <w:cols w:space="708"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FreeSerif"/>
    <w:panose1 w:val="02040503050406030204"/>
    <w:charset w:val="00"/>
    <w:family w:val="auto"/>
    <w:pitch w:val="default"/>
    <w:sig w:usb0="00000000" w:usb1="00000000" w:usb2="00000000" w:usb3="00000000" w:csb0="0000019F" w:csb1="00000000"/>
  </w:font>
  <w:font w:name="ＭＳ 明朝">
    <w:altName w:val="Gubbi"/>
    <w:panose1 w:val="00000000000000000000"/>
    <w:charset w:val="4E"/>
    <w:family w:val="auto"/>
    <w:pitch w:val="default"/>
    <w:sig w:usb0="00000000" w:usb1="00000000" w:usb2="00000010" w:usb3="00000000" w:csb0="00020000" w:csb1="00000000"/>
  </w:font>
  <w:font w:name="ＭＳ 明朝">
    <w:altName w:val="Droid Sans Fallback"/>
    <w:panose1 w:val="00000000000000000000"/>
    <w:charset w:val="86"/>
    <w:family w:val="auto"/>
    <w:pitch w:val="default"/>
    <w:sig w:usb0="00000000" w:usb1="00000000" w:usb2="00000000" w:usb3="00000000" w:csb0="00000000" w:csb1="00000000"/>
  </w:font>
  <w:font w:name="Times">
    <w:altName w:val="DejaVu Sans"/>
    <w:panose1 w:val="02000500000000000000"/>
    <w:charset w:val="00"/>
    <w:family w:val="auto"/>
    <w:pitch w:val="default"/>
    <w:sig w:usb0="00000000" w:usb1="00000000" w:usb2="00000000" w:usb3="00000000" w:csb0="00000001" w:csb1="00000000"/>
  </w:font>
  <w:font w:name="Lucida Grande">
    <w:altName w:val="Ubuntu"/>
    <w:panose1 w:val="020B0600040502020204"/>
    <w:charset w:val="00"/>
    <w:family w:val="auto"/>
    <w:pitch w:val="default"/>
    <w:sig w:usb0="00000000" w:usb1="00000000" w:usb2="00000000" w:usb3="00000000" w:csb0="000001BF" w:csb1="00000000"/>
  </w:font>
  <w:font w:name="ＭＳ 明朝">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FreeSerif">
    <w:panose1 w:val="02020603050405020304"/>
    <w:charset w:val="00"/>
    <w:family w:val="auto"/>
    <w:pitch w:val="default"/>
    <w:sig w:usb0="E59FAFFF" w:usb1="C200FDFF" w:usb2="43501B29" w:usb3="04000043" w:csb0="600101FF" w:csb1="FFFF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A4486"/>
    <w:rsid w:val="000277F0"/>
    <w:rsid w:val="00033307"/>
    <w:rsid w:val="000355B7"/>
    <w:rsid w:val="0007721D"/>
    <w:rsid w:val="00093E79"/>
    <w:rsid w:val="000A6C71"/>
    <w:rsid w:val="001075AC"/>
    <w:rsid w:val="00111637"/>
    <w:rsid w:val="00126D8D"/>
    <w:rsid w:val="00180A02"/>
    <w:rsid w:val="00187F7C"/>
    <w:rsid w:val="001B153B"/>
    <w:rsid w:val="001E32DB"/>
    <w:rsid w:val="001F0C57"/>
    <w:rsid w:val="001F4F70"/>
    <w:rsid w:val="00221F3A"/>
    <w:rsid w:val="00272162"/>
    <w:rsid w:val="00273453"/>
    <w:rsid w:val="00276A65"/>
    <w:rsid w:val="0029136A"/>
    <w:rsid w:val="002B5EBC"/>
    <w:rsid w:val="002E4264"/>
    <w:rsid w:val="00356465"/>
    <w:rsid w:val="00374284"/>
    <w:rsid w:val="00397F51"/>
    <w:rsid w:val="003B182C"/>
    <w:rsid w:val="003E1A9C"/>
    <w:rsid w:val="003E585F"/>
    <w:rsid w:val="00400CF4"/>
    <w:rsid w:val="004115B0"/>
    <w:rsid w:val="00451C07"/>
    <w:rsid w:val="00496D0D"/>
    <w:rsid w:val="004B0F98"/>
    <w:rsid w:val="004B7F66"/>
    <w:rsid w:val="00524C4A"/>
    <w:rsid w:val="00525A04"/>
    <w:rsid w:val="005954AC"/>
    <w:rsid w:val="00610245"/>
    <w:rsid w:val="006116F3"/>
    <w:rsid w:val="00630D0D"/>
    <w:rsid w:val="0068292F"/>
    <w:rsid w:val="006C1A3A"/>
    <w:rsid w:val="006C3454"/>
    <w:rsid w:val="006D6E94"/>
    <w:rsid w:val="006E4DE8"/>
    <w:rsid w:val="00707EA6"/>
    <w:rsid w:val="00731997"/>
    <w:rsid w:val="00734580"/>
    <w:rsid w:val="00766AE8"/>
    <w:rsid w:val="007A3D54"/>
    <w:rsid w:val="007D0C6E"/>
    <w:rsid w:val="007D5877"/>
    <w:rsid w:val="007E2A51"/>
    <w:rsid w:val="007E7E58"/>
    <w:rsid w:val="008569EF"/>
    <w:rsid w:val="0086668B"/>
    <w:rsid w:val="008823D7"/>
    <w:rsid w:val="008C2C3D"/>
    <w:rsid w:val="008C632D"/>
    <w:rsid w:val="008E4496"/>
    <w:rsid w:val="008F5F79"/>
    <w:rsid w:val="009159D3"/>
    <w:rsid w:val="00917D78"/>
    <w:rsid w:val="0092468E"/>
    <w:rsid w:val="00942ABE"/>
    <w:rsid w:val="00944182"/>
    <w:rsid w:val="0095051C"/>
    <w:rsid w:val="00960971"/>
    <w:rsid w:val="00993BFE"/>
    <w:rsid w:val="009A4486"/>
    <w:rsid w:val="00A70D5A"/>
    <w:rsid w:val="00AA0EAC"/>
    <w:rsid w:val="00AC0DC5"/>
    <w:rsid w:val="00AC63F5"/>
    <w:rsid w:val="00AD7FEF"/>
    <w:rsid w:val="00AE2208"/>
    <w:rsid w:val="00B0080B"/>
    <w:rsid w:val="00B03C0C"/>
    <w:rsid w:val="00B3379E"/>
    <w:rsid w:val="00B6052B"/>
    <w:rsid w:val="00B92F43"/>
    <w:rsid w:val="00BB18BC"/>
    <w:rsid w:val="00BE4C82"/>
    <w:rsid w:val="00C33689"/>
    <w:rsid w:val="00C514F0"/>
    <w:rsid w:val="00C7383F"/>
    <w:rsid w:val="00C84D74"/>
    <w:rsid w:val="00CA54DD"/>
    <w:rsid w:val="00CC34E4"/>
    <w:rsid w:val="00D01BA6"/>
    <w:rsid w:val="00D1352C"/>
    <w:rsid w:val="00D14AC6"/>
    <w:rsid w:val="00D3062D"/>
    <w:rsid w:val="00D67B17"/>
    <w:rsid w:val="00D705A8"/>
    <w:rsid w:val="00D74BD5"/>
    <w:rsid w:val="00DD3AD0"/>
    <w:rsid w:val="00E04C00"/>
    <w:rsid w:val="00E06DD3"/>
    <w:rsid w:val="00E15FB5"/>
    <w:rsid w:val="00E2403F"/>
    <w:rsid w:val="00E6335D"/>
    <w:rsid w:val="00E77835"/>
    <w:rsid w:val="00EF086A"/>
    <w:rsid w:val="00F31367"/>
    <w:rsid w:val="00F822EC"/>
    <w:rsid w:val="00F90246"/>
    <w:rsid w:val="00FF7BBA"/>
    <w:rsid w:val="324DE85F"/>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ja-JP"/>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14:defaultImageDpi w14:val="300"/>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sz w:val="24"/>
      <w:szCs w:val="24"/>
      <w:lang w:val="en-GB" w:eastAsia="en-US" w:bidi="ar-SA"/>
    </w:rPr>
  </w:style>
  <w:style w:type="character" w:default="1" w:styleId="9">
    <w:name w:val="Default Paragraph Font"/>
    <w:semiHidden/>
    <w:unhideWhenUsed/>
    <w:qFormat/>
    <w:uiPriority w:val="1"/>
  </w:style>
  <w:style w:type="table" w:default="1" w:styleId="11">
    <w:name w:val="Normal Table"/>
    <w:semiHidden/>
    <w:unhideWhenUsed/>
    <w:qFormat/>
    <w:uiPriority w:val="99"/>
    <w:tblPr>
      <w:tblLayout w:type="fixed"/>
      <w:tblCellMar>
        <w:top w:w="0" w:type="dxa"/>
        <w:left w:w="108" w:type="dxa"/>
        <w:bottom w:w="0" w:type="dxa"/>
        <w:right w:w="108" w:type="dxa"/>
      </w:tblCellMar>
    </w:tblPr>
  </w:style>
  <w:style w:type="paragraph" w:styleId="2">
    <w:name w:val="Balloon Text"/>
    <w:basedOn w:val="1"/>
    <w:link w:val="13"/>
    <w:semiHidden/>
    <w:unhideWhenUsed/>
    <w:qFormat/>
    <w:uiPriority w:val="99"/>
    <w:rPr>
      <w:rFonts w:ascii="Lucida Grande" w:hAnsi="Lucida Grande" w:cs="Lucida Grande"/>
      <w:sz w:val="18"/>
      <w:szCs w:val="18"/>
    </w:rPr>
  </w:style>
  <w:style w:type="paragraph" w:styleId="3">
    <w:name w:val="caption"/>
    <w:basedOn w:val="1"/>
    <w:next w:val="1"/>
    <w:unhideWhenUsed/>
    <w:qFormat/>
    <w:uiPriority w:val="35"/>
    <w:pPr>
      <w:spacing w:after="200"/>
    </w:pPr>
    <w:rPr>
      <w:b/>
      <w:bCs/>
      <w:color w:val="4F81BD" w:themeColor="accent1"/>
      <w:sz w:val="18"/>
      <w:szCs w:val="18"/>
      <w14:textFill>
        <w14:solidFill>
          <w14:schemeClr w14:val="accent1"/>
        </w14:solidFill>
      </w14:textFill>
    </w:rPr>
  </w:style>
  <w:style w:type="paragraph" w:styleId="4">
    <w:name w:val="annotation text"/>
    <w:basedOn w:val="1"/>
    <w:link w:val="12"/>
    <w:semiHidden/>
    <w:unhideWhenUsed/>
    <w:qFormat/>
    <w:uiPriority w:val="99"/>
  </w:style>
  <w:style w:type="paragraph" w:styleId="5">
    <w:name w:val="annotation subject"/>
    <w:basedOn w:val="4"/>
    <w:next w:val="4"/>
    <w:link w:val="16"/>
    <w:semiHidden/>
    <w:unhideWhenUsed/>
    <w:qFormat/>
    <w:uiPriority w:val="99"/>
    <w:rPr>
      <w:b/>
      <w:bCs/>
      <w:sz w:val="20"/>
      <w:szCs w:val="20"/>
    </w:rPr>
  </w:style>
  <w:style w:type="paragraph" w:styleId="6">
    <w:name w:val="footer"/>
    <w:basedOn w:val="1"/>
    <w:link w:val="15"/>
    <w:unhideWhenUsed/>
    <w:qFormat/>
    <w:uiPriority w:val="99"/>
    <w:pPr>
      <w:tabs>
        <w:tab w:val="center" w:pos="4320"/>
        <w:tab w:val="right" w:pos="8640"/>
      </w:tabs>
    </w:pPr>
  </w:style>
  <w:style w:type="paragraph" w:styleId="7">
    <w:name w:val="header"/>
    <w:basedOn w:val="1"/>
    <w:link w:val="14"/>
    <w:unhideWhenUsed/>
    <w:qFormat/>
    <w:uiPriority w:val="99"/>
    <w:pPr>
      <w:tabs>
        <w:tab w:val="center" w:pos="4320"/>
        <w:tab w:val="right" w:pos="8640"/>
      </w:tabs>
    </w:pPr>
  </w:style>
  <w:style w:type="paragraph" w:styleId="8">
    <w:name w:val="Normal (Web)"/>
    <w:basedOn w:val="1"/>
    <w:unhideWhenUsed/>
    <w:qFormat/>
    <w:uiPriority w:val="99"/>
    <w:pPr>
      <w:spacing w:before="100" w:beforeAutospacing="1" w:after="100" w:afterAutospacing="1"/>
    </w:pPr>
    <w:rPr>
      <w:rFonts w:ascii="Times" w:hAnsi="Times" w:cs="Times New Roman"/>
      <w:sz w:val="20"/>
      <w:szCs w:val="20"/>
    </w:rPr>
  </w:style>
  <w:style w:type="character" w:styleId="10">
    <w:name w:val="annotation reference"/>
    <w:basedOn w:val="9"/>
    <w:semiHidden/>
    <w:unhideWhenUsed/>
    <w:qFormat/>
    <w:uiPriority w:val="99"/>
    <w:rPr>
      <w:sz w:val="18"/>
      <w:szCs w:val="18"/>
    </w:rPr>
  </w:style>
  <w:style w:type="character" w:customStyle="1" w:styleId="12">
    <w:name w:val="Comment Text Char"/>
    <w:basedOn w:val="9"/>
    <w:link w:val="4"/>
    <w:semiHidden/>
    <w:qFormat/>
    <w:uiPriority w:val="99"/>
    <w:rPr>
      <w:lang w:val="en-GB"/>
    </w:rPr>
  </w:style>
  <w:style w:type="character" w:customStyle="1" w:styleId="13">
    <w:name w:val="Balloon Text Char"/>
    <w:basedOn w:val="9"/>
    <w:link w:val="2"/>
    <w:semiHidden/>
    <w:uiPriority w:val="99"/>
    <w:rPr>
      <w:rFonts w:ascii="Lucida Grande" w:hAnsi="Lucida Grande" w:cs="Lucida Grande"/>
      <w:sz w:val="18"/>
      <w:szCs w:val="18"/>
      <w:lang w:val="en-GB"/>
    </w:rPr>
  </w:style>
  <w:style w:type="character" w:customStyle="1" w:styleId="14">
    <w:name w:val="Header Char"/>
    <w:basedOn w:val="9"/>
    <w:link w:val="7"/>
    <w:qFormat/>
    <w:uiPriority w:val="99"/>
    <w:rPr>
      <w:lang w:val="en-GB"/>
    </w:rPr>
  </w:style>
  <w:style w:type="character" w:customStyle="1" w:styleId="15">
    <w:name w:val="Footer Char"/>
    <w:basedOn w:val="9"/>
    <w:link w:val="6"/>
    <w:qFormat/>
    <w:uiPriority w:val="99"/>
    <w:rPr>
      <w:lang w:val="en-GB"/>
    </w:rPr>
  </w:style>
  <w:style w:type="character" w:customStyle="1" w:styleId="16">
    <w:name w:val="Comment Subject Char"/>
    <w:basedOn w:val="12"/>
    <w:link w:val="5"/>
    <w:semiHidden/>
    <w:qFormat/>
    <w:uiPriority w:val="99"/>
    <w:rPr>
      <w:b/>
      <w:bCs/>
      <w:sz w:val="20"/>
      <w:szCs w:val="20"/>
      <w:lang w:val="en-GB"/>
    </w:rPr>
  </w:style>
</w:styles>
</file>

<file path=word/_rels/document.xml.rels><?xml version="1.0" encoding="UTF-8" standalone="yes"?>
<Relationships xmlns="http://schemas.openxmlformats.org/package/2006/relationships"><Relationship Id="rId9" Type="http://schemas.openxmlformats.org/officeDocument/2006/relationships/customXml" Target="../customXml/item1.xml"/><Relationship Id="rId8" Type="http://schemas.openxmlformats.org/officeDocument/2006/relationships/image" Target="media/image2.png"/><Relationship Id="rId7" Type="http://schemas.openxmlformats.org/officeDocument/2006/relationships/image" Target="media/image3.tiff"/><Relationship Id="rId6" Type="http://schemas.openxmlformats.org/officeDocument/2006/relationships/image" Target="media/image2.tiff"/><Relationship Id="rId5" Type="http://schemas.openxmlformats.org/officeDocument/2006/relationships/image" Target="media/image1.tiff"/><Relationship Id="rId4" Type="http://schemas.openxmlformats.org/officeDocument/2006/relationships/image" Target="media/image1.emf"/><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13</Pages>
  <Words>3562</Words>
  <Characters>20304</Characters>
  <Lines>169</Lines>
  <Paragraphs>47</Paragraphs>
  <TotalTime>14</TotalTime>
  <ScaleCrop>false</ScaleCrop>
  <LinksUpToDate>false</LinksUpToDate>
  <CharactersWithSpaces>23819</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2017-06-30T14:46:00Z</dcterms:created>
  <dc:creator>Ella</dc:creator>
  <cp:lastModifiedBy>amdroy</cp:lastModifiedBy>
  <cp:lastPrinted>2016-04-11T13:01:00Z</cp:lastPrinted>
  <dcterms:modified xsi:type="dcterms:W3CDTF">2020-12-07T20:13:25Z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http://www.zotero.org/styles/mammal-review</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http://www.zotero.org/styles/ecology-letters</vt:lpwstr>
  </property>
  <property fmtid="{D5CDD505-2E9C-101B-9397-08002B2CF9AE}" pid="7" name="Mendeley Recent Style Name 1_1">
    <vt:lpwstr>Ecology Letters</vt:lpwstr>
  </property>
  <property fmtid="{D5CDD505-2E9C-101B-9397-08002B2CF9AE}" pid="8" name="Mendeley Recent Style Id 2_1">
    <vt:lpwstr>http://www.zotero.org/styles/frontiers-in-ecology-and-evolution</vt:lpwstr>
  </property>
  <property fmtid="{D5CDD505-2E9C-101B-9397-08002B2CF9AE}" pid="9" name="Mendeley Recent Style Name 2_1">
    <vt:lpwstr>Frontiers in Ecology and Evolution</vt:lpwstr>
  </property>
  <property fmtid="{D5CDD505-2E9C-101B-9397-08002B2CF9AE}" pid="10" name="Mendeley Recent Style Id 3_1">
    <vt:lpwstr>http://www.zotero.org/styles/harvard-cite-them-right</vt:lpwstr>
  </property>
  <property fmtid="{D5CDD505-2E9C-101B-9397-08002B2CF9AE}" pid="11" name="Mendeley Recent Style Name 3_1">
    <vt:lpwstr>Harvard - Cite Them Right 9th edition</vt:lpwstr>
  </property>
  <property fmtid="{D5CDD505-2E9C-101B-9397-08002B2CF9AE}" pid="12" name="Mendeley Recent Style Id 4_1">
    <vt:lpwstr>http://www.zotero.org/styles/methods-in-ecology-and-evolution</vt:lpwstr>
  </property>
  <property fmtid="{D5CDD505-2E9C-101B-9397-08002B2CF9AE}" pid="13" name="Mendeley Recent Style Name 4_1">
    <vt:lpwstr>Methods in Ecology and Evolution</vt:lpwstr>
  </property>
  <property fmtid="{D5CDD505-2E9C-101B-9397-08002B2CF9AE}" pid="14" name="Mendeley Recent Style Id 5_1">
    <vt:lpwstr>http://www.zotero.org/styles/modern-humanities-research-association</vt:lpwstr>
  </property>
  <property fmtid="{D5CDD505-2E9C-101B-9397-08002B2CF9AE}" pid="15" name="Mendeley Recent Style Name 5_1">
    <vt:lpwstr>Modern Humanities Research Association 3rd edition (note with bibliography)</vt:lpwstr>
  </property>
  <property fmtid="{D5CDD505-2E9C-101B-9397-08002B2CF9AE}" pid="16" name="Mendeley Recent Style Id 6_1">
    <vt:lpwstr>http://www.zotero.org/styles/modern-language-association</vt:lpwstr>
  </property>
  <property fmtid="{D5CDD505-2E9C-101B-9397-08002B2CF9AE}" pid="17" name="Mendeley Recent Style Name 6_1">
    <vt:lpwstr>Modern Language Association 7th edition</vt:lpwstr>
  </property>
  <property fmtid="{D5CDD505-2E9C-101B-9397-08002B2CF9AE}" pid="18" name="Mendeley Recent Style Id 7_1">
    <vt:lpwstr>http://www.zotero.org/styles/nature</vt:lpwstr>
  </property>
  <property fmtid="{D5CDD505-2E9C-101B-9397-08002B2CF9AE}" pid="19" name="Mendeley Recent Style Name 7_1">
    <vt:lpwstr>Nature</vt:lpwstr>
  </property>
  <property fmtid="{D5CDD505-2E9C-101B-9397-08002B2CF9AE}" pid="20" name="Mendeley Recent Style Id 8_1">
    <vt:lpwstr>http://www.zotero.org/styles/proceedings-of-the-royal-society-b</vt:lpwstr>
  </property>
  <property fmtid="{D5CDD505-2E9C-101B-9397-08002B2CF9AE}" pid="21" name="Mendeley Recent Style Name 8_1">
    <vt:lpwstr>Proceedings of the Royal Society B</vt:lpwstr>
  </property>
  <property fmtid="{D5CDD505-2E9C-101B-9397-08002B2CF9AE}" pid="22" name="Mendeley Recent Style Id 9_1">
    <vt:lpwstr>http://www.zotero.org/styles/trends-in-ecology-and-evolution</vt:lpwstr>
  </property>
  <property fmtid="{D5CDD505-2E9C-101B-9397-08002B2CF9AE}" pid="23" name="Mendeley Recent Style Name 9_1">
    <vt:lpwstr>Trends in Ecology &amp; Evolution</vt:lpwstr>
  </property>
  <property fmtid="{D5CDD505-2E9C-101B-9397-08002B2CF9AE}" pid="24" name="Mendeley Unique User Id_1">
    <vt:lpwstr>718596d3-f387-386b-8959-d5b417740b16</vt:lpwstr>
  </property>
  <property fmtid="{D5CDD505-2E9C-101B-9397-08002B2CF9AE}" pid="25" name="KSOProductBuildVer">
    <vt:lpwstr>1033-11.1.0.8865</vt:lpwstr>
  </property>
</Properties>
</file>