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Basic ERP — Backend Foundation Specification</w:t>
      </w:r>
    </w:p>
    <w:p>
      <w:pPr>
        <w:jc w:val="center"/>
      </w:pPr>
      <w:r>
        <w:rPr>
          <w:b/>
        </w:rPr>
        <w:t>Spec-Driven Development Artifact | Phase BF-01</w:t>
      </w:r>
    </w:p>
    <w:p>
      <w:r>
        <w:t>Parent specification: Software Requirements &amp; Technical Specification — Basic ERP — Billing and Stock Management</w:t>
      </w:r>
    </w:p>
    <w:p>
      <w:r>
        <w:t>Purpose: Define the minimum backend foundation required before implementing ERP business modules, while preserving exact alignment with the parent specification.</w:t>
      </w:r>
    </w:p>
    <w:p>
      <w:pPr>
        <w:pStyle w:val="Heading1"/>
      </w:pPr>
      <w:r>
        <w:t>1. Specification Status and Authority</w:t>
      </w:r>
    </w:p>
    <w:p>
      <w:r>
        <w:t>This document is a child implementation specification. The parent SRS remains authoritative. If this document conflicts with the parent SRS, the parent SRS wins. No business behavior may be invented to resolve ambiguity; unresolved business behavior must be deferred to the relevant feature specification.</w:t>
      </w:r>
    </w:p>
    <w:p>
      <w:pPr>
        <w:pStyle w:val="ListBullet"/>
      </w:pPr>
      <w:r>
        <w:t>Implementation phase: Backend Foundation only.</w:t>
      </w:r>
    </w:p>
    <w:p>
      <w:pPr>
        <w:pStyle w:val="ListBullet"/>
      </w:pPr>
      <w:r>
        <w:t>Technology fixed by parent SRS: ASP.NET Core, SQL Server, modular Clean Architecture, CQRS, vertical slices.</w:t>
      </w:r>
    </w:p>
    <w:p>
      <w:pPr>
        <w:pStyle w:val="ListBullet"/>
      </w:pPr>
      <w:r>
        <w:t>Frontend (Angular) is outside this phase.</w:t>
      </w:r>
    </w:p>
    <w:p>
      <w:pPr>
        <w:pStyle w:val="ListBullet"/>
      </w:pPr>
      <w:r>
        <w:t>This phase must make later business modules possible without implementing those modules prematurely.</w:t>
      </w:r>
    </w:p>
    <w:p>
      <w:pPr>
        <w:pStyle w:val="Heading1"/>
      </w:pPr>
      <w:r>
        <w:t>2. Parent Requirements Driving This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Foundation consequence</w:t>
            </w:r>
          </w:p>
        </w:tc>
      </w:tr>
      <w:tr>
        <w:tc>
          <w:tcPr>
            <w:tcW w:type="dxa" w:w="3360"/>
            <w:vAlign w:val="top"/>
          </w:tcPr>
          <w:p>
            <w:r>
              <w:t>§1.1</w:t>
            </w:r>
          </w:p>
        </w:tc>
        <w:tc>
          <w:tcPr>
            <w:tcW w:type="dxa" w:w="3360"/>
            <w:vAlign w:val="top"/>
          </w:tcPr>
          <w:p>
            <w:r>
              <w:t>ASP.NET Core + SQL Server + modular Clean Architecture + CQRS + vertical slices</w:t>
            </w:r>
          </w:p>
        </w:tc>
        <w:tc>
          <w:tcPr>
            <w:tcW w:type="dxa" w:w="3360"/>
            <w:vAlign w:val="top"/>
          </w:tcPr>
          <w:p>
            <w:r>
              <w:t>Create the solution/layer boundaries and dependency direction needed by later slices.</w:t>
            </w:r>
          </w:p>
        </w:tc>
      </w:tr>
      <w:tr>
        <w:tc>
          <w:tcPr>
            <w:tcW w:type="dxa" w:w="3360"/>
            <w:vAlign w:val="top"/>
          </w:tcPr>
          <w:p>
            <w:r>
              <w:t>§1.5</w:t>
            </w:r>
          </w:p>
        </w:tc>
        <w:tc>
          <w:tcPr>
            <w:tcW w:type="dxa" w:w="3360"/>
            <w:vAlign w:val="top"/>
          </w:tcPr>
          <w:p>
            <w:r>
              <w:t>Strict separation of domain, application, infrastructure, presentation</w:t>
            </w:r>
          </w:p>
        </w:tc>
        <w:tc>
          <w:tcPr>
            <w:tcW w:type="dxa" w:w="3360"/>
            <w:vAlign w:val="top"/>
          </w:tcPr>
          <w:p>
            <w:r>
              <w:t>Enforce project references so inner layers do not depend on outer layers.</w:t>
            </w:r>
          </w:p>
        </w:tc>
      </w:tr>
      <w:tr>
        <w:tc>
          <w:tcPr>
            <w:tcW w:type="dxa" w:w="3360"/>
            <w:vAlign w:val="top"/>
          </w:tcPr>
          <w:p>
            <w:r>
              <w:t>§1.5</w:t>
            </w:r>
          </w:p>
        </w:tc>
        <w:tc>
          <w:tcPr>
            <w:tcW w:type="dxa" w:w="3360"/>
            <w:vAlign w:val="top"/>
          </w:tcPr>
          <w:p>
            <w:r>
              <w:t>Commands, queries, handlers, domain events</w:t>
            </w:r>
          </w:p>
        </w:tc>
        <w:tc>
          <w:tcPr>
            <w:tcW w:type="dxa" w:w="3360"/>
            <w:vAlign w:val="top"/>
          </w:tcPr>
          <w:p>
            <w:r>
              <w:t>Application layer must support CQRS/MediatR and Domain must have a domain-event abstraction.</w:t>
            </w:r>
          </w:p>
        </w:tc>
      </w:tr>
      <w:tr>
        <w:tc>
          <w:tcPr>
            <w:tcW w:type="dxa" w:w="3360"/>
            <w:vAlign w:val="top"/>
          </w:tcPr>
          <w:p>
            <w:r>
              <w:t>§1.5</w:t>
            </w:r>
          </w:p>
        </w:tc>
        <w:tc>
          <w:tcPr>
            <w:tcW w:type="dxa" w:w="3360"/>
            <w:vAlign w:val="top"/>
          </w:tcPr>
          <w:p>
            <w:r>
              <w:t>Transactional inventory and financial posting</w:t>
            </w:r>
          </w:p>
        </w:tc>
        <w:tc>
          <w:tcPr>
            <w:tcW w:type="dxa" w:w="3360"/>
            <w:vAlign w:val="top"/>
          </w:tcPr>
          <w:p>
            <w:r>
              <w:t>Persistence foundation must support explicit relational transactions; business transactions are implemented later.</w:t>
            </w:r>
          </w:p>
        </w:tc>
      </w:tr>
      <w:tr>
        <w:tc>
          <w:tcPr>
            <w:tcW w:type="dxa" w:w="3360"/>
            <w:vAlign w:val="top"/>
          </w:tcPr>
          <w:p>
            <w:r>
              <w:t>§1.5</w:t>
            </w:r>
          </w:p>
        </w:tc>
        <w:tc>
          <w:tcPr>
            <w:tcW w:type="dxa" w:w="3360"/>
            <w:vAlign w:val="top"/>
          </w:tcPr>
          <w:p>
            <w:r>
              <w:t>Stateless API instances / horizontal scaling</w:t>
            </w:r>
          </w:p>
        </w:tc>
        <w:tc>
          <w:tcPr>
            <w:tcW w:type="dxa" w:w="3360"/>
            <w:vAlign w:val="top"/>
          </w:tcPr>
          <w:p>
            <w:r>
              <w:t>Do not store user/session/business state in process memory.</w:t>
            </w:r>
          </w:p>
        </w:tc>
      </w:tr>
      <w:tr>
        <w:tc>
          <w:tcPr>
            <w:tcW w:type="dxa" w:w="3360"/>
            <w:vAlign w:val="top"/>
          </w:tcPr>
          <w:p>
            <w:r>
              <w:t>§1.5</w:t>
            </w:r>
          </w:p>
        </w:tc>
        <w:tc>
          <w:tcPr>
            <w:tcW w:type="dxa" w:w="3360"/>
            <w:vAlign w:val="top"/>
          </w:tcPr>
          <w:p>
            <w:r>
              <w:t>Consistent validation, authorization, audit, logging, exception handling</w:t>
            </w:r>
          </w:p>
        </w:tc>
        <w:tc>
          <w:tcPr>
            <w:tcW w:type="dxa" w:w="3360"/>
            <w:vAlign w:val="top"/>
          </w:tcPr>
          <w:p>
            <w:r>
              <w:t>Create appropriate cross-cutting pipeline/middleware extension points; implement only generic foundation behavior here.</w:t>
            </w:r>
          </w:p>
        </w:tc>
      </w:tr>
      <w:tr>
        <w:tc>
          <w:tcPr>
            <w:tcW w:type="dxa" w:w="3360"/>
            <w:vAlign w:val="top"/>
          </w:tcPr>
          <w:p>
            <w:r>
              <w:t>§2.5</w:t>
            </w:r>
          </w:p>
        </w:tc>
        <w:tc>
          <w:tcPr>
            <w:tcW w:type="dxa" w:w="3360"/>
            <w:vAlign w:val="top"/>
          </w:tcPr>
          <w:p>
            <w:r>
              <w:t>Authenticated endpoints and policy permissions</w:t>
            </w:r>
          </w:p>
        </w:tc>
        <w:tc>
          <w:tcPr>
            <w:tcW w:type="dxa" w:w="3360"/>
            <w:vAlign w:val="top"/>
          </w:tcPr>
          <w:p>
            <w:r>
              <w:t>Architecture must allow endpoint policy enforcement; full JWT/permission implementation is deferred to Administration/Auth phase.</w:t>
            </w:r>
          </w:p>
        </w:tc>
      </w:tr>
      <w:tr>
        <w:tc>
          <w:tcPr>
            <w:tcW w:type="dxa" w:w="3360"/>
            <w:vAlign w:val="top"/>
          </w:tcPr>
          <w:p>
            <w:r>
              <w:t>FR-ADM-003/004</w:t>
            </w:r>
          </w:p>
        </w:tc>
        <w:tc>
          <w:tcPr>
            <w:tcW w:type="dxa" w:w="3360"/>
            <w:vAlign w:val="top"/>
          </w:tcPr>
          <w:p>
            <w:r>
              <w:t>JWT + ASP.NET Core authorization policies</w:t>
            </w:r>
          </w:p>
        </w:tc>
        <w:tc>
          <w:tcPr>
            <w:tcW w:type="dxa" w:w="3360"/>
            <w:vAlign w:val="top"/>
          </w:tcPr>
          <w:p>
            <w:r>
              <w:t>Do not choose an incompatible authentication model.</w:t>
            </w:r>
          </w:p>
        </w:tc>
      </w:tr>
      <w:tr>
        <w:tc>
          <w:tcPr>
            <w:tcW w:type="dxa" w:w="3360"/>
            <w:vAlign w:val="top"/>
          </w:tcPr>
          <w:p>
            <w:r>
              <w:t>FR-RPT-008</w:t>
            </w:r>
          </w:p>
        </w:tc>
        <w:tc>
          <w:tcPr>
            <w:tcW w:type="dxa" w:w="3360"/>
            <w:vAlign w:val="top"/>
          </w:tcPr>
          <w:p>
            <w:r>
              <w:t>Dapper for reports</w:t>
            </w:r>
          </w:p>
        </w:tc>
        <w:tc>
          <w:tcPr>
            <w:tcW w:type="dxa" w:w="3360"/>
            <w:vAlign w:val="top"/>
          </w:tcPr>
          <w:p>
            <w:r>
              <w:t>Do not force report reads through EF repositories; Dapper is deferred until reporting phase.</w:t>
            </w:r>
          </w:p>
        </w:tc>
      </w:tr>
      <w:tr>
        <w:tc>
          <w:tcPr>
            <w:tcW w:type="dxa" w:w="3360"/>
            <w:vAlign w:val="top"/>
          </w:tcPr>
          <w:p>
            <w:r>
              <w:t>FR-STK-011</w:t>
            </w:r>
          </w:p>
        </w:tc>
        <w:tc>
          <w:tcPr>
            <w:tcW w:type="dxa" w:w="3360"/>
            <w:vAlign w:val="top"/>
          </w:tcPr>
          <w:p>
            <w:r>
              <w:t>SQL Server rowversion for stock balance</w:t>
            </w:r>
          </w:p>
        </w:tc>
        <w:tc>
          <w:tcPr>
            <w:tcW w:type="dxa" w:w="3360"/>
            <w:vAlign w:val="top"/>
          </w:tcPr>
          <w:p>
            <w:r>
              <w:t>Use SQL Server/EF Core in a way that permits rowversion mapping later; do not create StockBalance yet.</w:t>
            </w:r>
          </w:p>
        </w:tc>
      </w:tr>
    </w:tbl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Create the .NET solution and four backend projects: Api, Application, Domain, Infrastructure.</w:t>
      </w:r>
    </w:p>
    <w:p>
      <w:pPr>
        <w:pStyle w:val="ListBullet"/>
      </w:pPr>
      <w:r>
        <w:t>Configure legal project references and dependency direction.</w:t>
      </w:r>
    </w:p>
    <w:p>
      <w:pPr>
        <w:pStyle w:val="ListBullet"/>
      </w:pPr>
      <w:r>
        <w:t>Configure MediatR for application request/handler discovery.</w:t>
      </w:r>
    </w:p>
    <w:p>
      <w:pPr>
        <w:pStyle w:val="ListBullet"/>
      </w:pPr>
      <w:r>
        <w:t>Configure FluentValidation and a MediatR validation pipeline behavior.</w:t>
      </w:r>
    </w:p>
    <w:p>
      <w:pPr>
        <w:pStyle w:val="ListBullet"/>
      </w:pPr>
      <w:r>
        <w:t>Create the EF Core SQL Server persistence foundation and DbContext.</w:t>
      </w:r>
    </w:p>
    <w:p>
      <w:pPr>
        <w:pStyle w:val="ListBullet"/>
      </w:pPr>
      <w:r>
        <w:t>Create dependency-injection registration methods for Application and Infrastructure.</w:t>
      </w:r>
    </w:p>
    <w:p>
      <w:pPr>
        <w:pStyle w:val="ListBullet"/>
      </w:pPr>
      <w:r>
        <w:t>Create a generic domain-event contract/base mechanism sufficient for later domain entities to raise events.</w:t>
      </w:r>
    </w:p>
    <w:p>
      <w:pPr>
        <w:pStyle w:val="ListBullet"/>
      </w:pPr>
      <w:r>
        <w:t>Create centralized API exception handling using ASP.NET Core problem details.</w:t>
      </w:r>
    </w:p>
    <w:p>
      <w:pPr>
        <w:pStyle w:val="ListBullet"/>
      </w:pPr>
      <w:r>
        <w:t>Configure structured application logging through the ASP.NET Core logging abstraction; no business audit log yet.</w:t>
      </w:r>
    </w:p>
    <w:p>
      <w:pPr>
        <w:pStyle w:val="ListBullet"/>
      </w:pPr>
      <w:r>
        <w:t>Add health checking for the API and database connectivity.</w:t>
      </w:r>
    </w:p>
    <w:p>
      <w:pPr>
        <w:pStyle w:val="ListBullet"/>
      </w:pPr>
      <w:r>
        <w:t>Create test projects and architecture/foundation tests.</w:t>
      </w:r>
    </w:p>
    <w:p>
      <w:pPr>
        <w:pStyle w:val="ListBullet"/>
      </w:pPr>
      <w:r>
        <w:t>Create development configuration placeholders for the SQL Server connection string without committing real credentials.</w:t>
      </w:r>
    </w:p>
    <w:p>
      <w:pPr>
        <w:pStyle w:val="Heading2"/>
      </w:pPr>
      <w:r>
        <w:t>3.2 Explicitly Out of Scope</w:t>
      </w:r>
    </w:p>
    <w:p>
      <w:pPr>
        <w:pStyle w:val="ListBullet"/>
      </w:pPr>
      <w:r>
        <w:t>Master Data entities or CRUD features: Product, Category, UoM, TaxCode, Customer, Supplier, Warehouse.</w:t>
      </w:r>
    </w:p>
    <w:p>
      <w:pPr>
        <w:pStyle w:val="ListBullet"/>
      </w:pPr>
      <w:r>
        <w:t>Inventory entities/logic: StockBalance, StockLedger, adjustments, transfers, opening balances, weighted average cost, rowversion behavior.</w:t>
      </w:r>
    </w:p>
    <w:p>
      <w:pPr>
        <w:pStyle w:val="ListBullet"/>
      </w:pPr>
      <w:r>
        <w:t>Purchasing, quotations, sales orders, invoices, credit notes, payments, VAT posting, number series.</w:t>
      </w:r>
    </w:p>
    <w:p>
      <w:pPr>
        <w:pStyle w:val="ListBullet"/>
      </w:pPr>
      <w:r>
        <w:t>ASP.NET Core Identity user/role schema, login/register endpoints, JWT token issuance, refresh tokens, permission matrix implementation.</w:t>
      </w:r>
    </w:p>
    <w:p>
      <w:pPr>
        <w:pStyle w:val="ListBullet"/>
      </w:pPr>
      <w:r>
        <w:t>AuditLog persistence and entity-change auditing.</w:t>
      </w:r>
    </w:p>
    <w:p>
      <w:pPr>
        <w:pStyle w:val="ListBullet"/>
      </w:pPr>
      <w:r>
        <w:t>Dapper report queries, SQL views, CSV/Excel export.</w:t>
      </w:r>
    </w:p>
    <w:p>
      <w:pPr>
        <w:pStyle w:val="ListBullet"/>
      </w:pPr>
      <w:r>
        <w:t>Angular frontend.</w:t>
      </w:r>
    </w:p>
    <w:p>
      <w:pPr>
        <w:pStyle w:val="ListBullet"/>
      </w:pPr>
      <w:r>
        <w:t>Any capability declared out of scope by §1.4 of the parent SRS.</w:t>
      </w:r>
    </w:p>
    <w:p>
      <w:pPr>
        <w:pStyle w:val="Heading1"/>
      </w:pPr>
      <w:r>
        <w:t>4. Required Solution Structure</w:t>
      </w:r>
    </w:p>
    <w:p>
      <w:pPr>
        <w:ind w:left="360"/>
      </w:pPr>
      <w:r>
        <w:rPr>
          <w:rFonts w:ascii="Consolas" w:hAnsi="Consolas"/>
          <w:sz w:val="18"/>
        </w:rPr>
        <w:t>JTradeERP/</w:t>
        <w:br/>
        <w:t>├── JTradeERP.sln</w:t>
        <w:br/>
        <w:t>├── src/</w:t>
        <w:br/>
        <w:t>│   ├── JTradeERP.Domain/</w:t>
        <w:br/>
        <w:t>│   ├── JTradeERP.Application/</w:t>
        <w:br/>
        <w:t>│   ├── JTradeERP.Infrastructure/</w:t>
        <w:br/>
        <w:t>│   └── JTradeERP.Api/</w:t>
        <w:br/>
        <w:t>└── tests/</w:t>
        <w:br/>
        <w:t xml:space="preserve">    ├── JTradeERP.ArchitectureTests/</w:t>
        <w:br/>
        <w:t xml:space="preserve">    ├── JTradeERP.Application.UnitTests/</w:t>
        <w:br/>
        <w:t xml:space="preserve">    └── JTradeERP.Api.IntegrationTests/</w:t>
      </w:r>
    </w:p>
    <w:p>
      <w:pPr>
        <w:pStyle w:val="Heading2"/>
      </w:pPr>
      <w:r>
        <w:t>4.1 Layer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Owns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Must not own</w:t>
            </w:r>
          </w:p>
        </w:tc>
      </w:tr>
      <w:tr>
        <w:tc>
          <w:tcPr>
            <w:tcW w:type="dxa" w:w="3360"/>
            <w:vAlign w:val="top"/>
          </w:tcPr>
          <w:p>
            <w:r>
              <w:t>Domain</w:t>
            </w:r>
          </w:p>
        </w:tc>
        <w:tc>
          <w:tcPr>
            <w:tcW w:type="dxa" w:w="3360"/>
            <w:vAlign w:val="top"/>
          </w:tcPr>
          <w:p>
            <w:r>
              <w:t>Domain abstractions, domain events, future entities/value objects/enums/domain rules</w:t>
            </w:r>
          </w:p>
        </w:tc>
        <w:tc>
          <w:tcPr>
            <w:tcW w:type="dxa" w:w="3360"/>
            <w:vAlign w:val="top"/>
          </w:tcPr>
          <w:p>
            <w:r>
              <w:t>EF Core, ASP.NET Core, MediatR handlers, HTTP, SQL concerns</w:t>
            </w:r>
          </w:p>
        </w:tc>
      </w:tr>
      <w:tr>
        <w:tc>
          <w:tcPr>
            <w:tcW w:type="dxa" w:w="3360"/>
            <w:vAlign w:val="top"/>
          </w:tcPr>
          <w:p>
            <w:r>
              <w:t>Application</w:t>
            </w:r>
          </w:p>
        </w:tc>
        <w:tc>
          <w:tcPr>
            <w:tcW w:type="dxa" w:w="3360"/>
            <w:vAlign w:val="top"/>
          </w:tcPr>
          <w:p>
            <w:r>
              <w:t>CQRS requests/handlers, validation, application abstractions, pipeline behaviors</w:t>
            </w:r>
          </w:p>
        </w:tc>
        <w:tc>
          <w:tcPr>
            <w:tcW w:type="dxa" w:w="3360"/>
            <w:vAlign w:val="top"/>
          </w:tcPr>
          <w:p>
            <w:r>
              <w:t>EF Core implementation, HTTP endpoints, SQL Server-specific code</w:t>
            </w:r>
          </w:p>
        </w:tc>
      </w:tr>
      <w:tr>
        <w:tc>
          <w:tcPr>
            <w:tcW w:type="dxa" w:w="3360"/>
            <w:vAlign w:val="top"/>
          </w:tcPr>
          <w:p>
            <w:r>
              <w:t>Infrastructure</w:t>
            </w:r>
          </w:p>
        </w:tc>
        <w:tc>
          <w:tcPr>
            <w:tcW w:type="dxa" w:w="3360"/>
            <w:vAlign w:val="top"/>
          </w:tcPr>
          <w:p>
            <w:r>
              <w:t>EF Core DbContext, SQL Server provider, external/persistence implementations</w:t>
            </w:r>
          </w:p>
        </w:tc>
        <w:tc>
          <w:tcPr>
            <w:tcW w:type="dxa" w:w="3360"/>
            <w:vAlign w:val="top"/>
          </w:tcPr>
          <w:p>
            <w:r>
              <w:t>HTTP endpoints or presentation concerns</w:t>
            </w:r>
          </w:p>
        </w:tc>
      </w:tr>
      <w:tr>
        <w:tc>
          <w:tcPr>
            <w:tcW w:type="dxa" w:w="3360"/>
            <w:vAlign w:val="top"/>
          </w:tcPr>
          <w:p>
            <w:r>
              <w:t>Api</w:t>
            </w:r>
          </w:p>
        </w:tc>
        <w:tc>
          <w:tcPr>
            <w:tcW w:type="dxa" w:w="3360"/>
            <w:vAlign w:val="top"/>
          </w:tcPr>
          <w:p>
            <w:r>
              <w:t>Composition root, Minimal API hosting, middleware, ProblemDetails, health endpoints</w:t>
            </w:r>
          </w:p>
        </w:tc>
        <w:tc>
          <w:tcPr>
            <w:tcW w:type="dxa" w:w="3360"/>
            <w:vAlign w:val="top"/>
          </w:tcPr>
          <w:p>
            <w:r>
              <w:t>Business rules or direct persistence logic</w:t>
            </w:r>
          </w:p>
        </w:tc>
      </w:tr>
    </w:tbl>
    <w:p>
      <w:pPr>
        <w:pStyle w:val="Heading2"/>
      </w:pPr>
      <w:r>
        <w:t>4.2 Allowed Project References</w:t>
      </w:r>
    </w:p>
    <w:p>
      <w:pPr>
        <w:ind w:left="360"/>
      </w:pPr>
      <w:r>
        <w:rPr>
          <w:rFonts w:ascii="Consolas" w:hAnsi="Consolas"/>
          <w:sz w:val="18"/>
        </w:rPr>
        <w:t>JTradeERP.Domain          -&gt; no project reference to other solution layers</w:t>
        <w:br/>
        <w:t>JTradeERP.Application     -&gt; JTradeERP.Domain</w:t>
        <w:br/>
        <w:t>JTradeERP.Infrastructure  -&gt; JTradeERP.Application + JTradeERP.Domain</w:t>
        <w:br/>
        <w:t>JTradeERP.Api             -&gt; JTradeERP.Application + JTradeERP.Infrastructure</w:t>
        <w:br/>
        <w:br/>
        <w:t>Tests may reference only the projects needed by the test type.</w:t>
      </w:r>
    </w:p>
    <w:p>
      <w:r>
        <w:t>Acceptance rule: no reverse dependency is permitted. In particular, Domain must not reference Application/Infrastructure/Api, and Application must not reference Infrastructure/Api.</w:t>
      </w:r>
    </w:p>
    <w:p>
      <w:pPr>
        <w:pStyle w:val="Heading1"/>
      </w:pPr>
      <w:r>
        <w:t>5. Technology and Package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t>.NET</w:t>
            </w:r>
          </w:p>
        </w:tc>
        <w:tc>
          <w:tcPr>
            <w:tcW w:type="dxa" w:w="5040"/>
            <w:vAlign w:val="top"/>
          </w:tcPr>
          <w:p>
            <w:r>
              <w:t>Use the current project target selected for the repository consistently across all projects. Do not mix target frameworks.</w:t>
            </w:r>
          </w:p>
        </w:tc>
      </w:tr>
      <w:tr>
        <w:tc>
          <w:tcPr>
            <w:tcW w:type="dxa" w:w="5040"/>
            <w:vAlign w:val="top"/>
          </w:tcPr>
          <w:p>
            <w:r>
              <w:t>API style</w:t>
            </w:r>
          </w:p>
        </w:tc>
        <w:tc>
          <w:tcPr>
            <w:tcW w:type="dxa" w:w="5040"/>
            <w:vAlign w:val="top"/>
          </w:tcPr>
          <w:p>
            <w:r>
              <w:t>ASP.NET Core Minimal APIs, consistent with the parent architecture and future vertical slices.</w:t>
            </w:r>
          </w:p>
        </w:tc>
      </w:tr>
      <w:tr>
        <w:tc>
          <w:tcPr>
            <w:tcW w:type="dxa" w:w="5040"/>
            <w:vAlign w:val="top"/>
          </w:tcPr>
          <w:p>
            <w:r>
              <w:t>CQRS</w:t>
            </w:r>
          </w:p>
        </w:tc>
        <w:tc>
          <w:tcPr>
            <w:tcW w:type="dxa" w:w="5040"/>
            <w:vAlign w:val="top"/>
          </w:tcPr>
          <w:p>
            <w:r>
              <w:t>MediatR in Application. Feature-specific commands/queries/handlers are added in later specs.</w:t>
            </w:r>
          </w:p>
        </w:tc>
      </w:tr>
      <w:tr>
        <w:tc>
          <w:tcPr>
            <w:tcW w:type="dxa" w:w="5040"/>
            <w:vAlign w:val="top"/>
          </w:tcPr>
          <w:p>
            <w:r>
              <w:t>Validation</w:t>
            </w:r>
          </w:p>
        </w:tc>
        <w:tc>
          <w:tcPr>
            <w:tcW w:type="dxa" w:w="5040"/>
            <w:vAlign w:val="top"/>
          </w:tcPr>
          <w:p>
            <w:r>
              <w:t>FluentValidation plus a MediatR pipeline behavior that validates requests before handler execution.</w:t>
            </w:r>
          </w:p>
        </w:tc>
      </w:tr>
      <w:tr>
        <w:tc>
          <w:tcPr>
            <w:tcW w:type="dxa" w:w="5040"/>
            <w:vAlign w:val="top"/>
          </w:tcPr>
          <w:p>
            <w:r>
              <w:t>Persistence</w:t>
            </w:r>
          </w:p>
        </w:tc>
        <w:tc>
          <w:tcPr>
            <w:tcW w:type="dxa" w:w="5040"/>
            <w:vAlign w:val="top"/>
          </w:tcPr>
          <w:p>
            <w:r>
              <w:t>EF Core + Microsoft SQL Server provider in Infrastructure.</w:t>
            </w:r>
          </w:p>
        </w:tc>
      </w:tr>
      <w:tr>
        <w:tc>
          <w:tcPr>
            <w:tcW w:type="dxa" w:w="5040"/>
            <w:vAlign w:val="top"/>
          </w:tcPr>
          <w:p>
            <w:r>
              <w:t>Database</w:t>
            </w:r>
          </w:p>
        </w:tc>
        <w:tc>
          <w:tcPr>
            <w:tcW w:type="dxa" w:w="5040"/>
            <w:vAlign w:val="top"/>
          </w:tcPr>
          <w:p>
            <w:r>
              <w:t>SQL Server. No alternate production provider.</w:t>
            </w:r>
          </w:p>
        </w:tc>
      </w:tr>
      <w:tr>
        <w:tc>
          <w:tcPr>
            <w:tcW w:type="dxa" w:w="5040"/>
            <w:vAlign w:val="top"/>
          </w:tcPr>
          <w:p>
            <w:r>
              <w:t>Errors</w:t>
            </w:r>
          </w:p>
        </w:tc>
        <w:tc>
          <w:tcPr>
            <w:tcW w:type="dxa" w:w="5040"/>
            <w:vAlign w:val="top"/>
          </w:tcPr>
          <w:p>
            <w:r>
              <w:t>ASP.NET Core ProblemDetails / centralized exception handler; no ad-hoc try/catch in every endpoint.</w:t>
            </w:r>
          </w:p>
        </w:tc>
      </w:tr>
      <w:tr>
        <w:tc>
          <w:tcPr>
            <w:tcW w:type="dxa" w:w="5040"/>
            <w:vAlign w:val="top"/>
          </w:tcPr>
          <w:p>
            <w:r>
              <w:t>Logging</w:t>
            </w:r>
          </w:p>
        </w:tc>
        <w:tc>
          <w:tcPr>
            <w:tcW w:type="dxa" w:w="5040"/>
            <w:vAlign w:val="top"/>
          </w:tcPr>
          <w:p>
            <w:r>
              <w:t>ILogger&lt;T&gt; abstraction and standard host logging. Do not confuse operational logs with the future immutable AuditLog.</w:t>
            </w:r>
          </w:p>
        </w:tc>
      </w:tr>
      <w:tr>
        <w:tc>
          <w:tcPr>
            <w:tcW w:type="dxa" w:w="5040"/>
            <w:vAlign w:val="top"/>
          </w:tcPr>
          <w:p>
            <w:r>
              <w:t>Testing</w:t>
            </w:r>
          </w:p>
        </w:tc>
        <w:tc>
          <w:tcPr>
            <w:tcW w:type="dxa" w:w="5040"/>
            <w:vAlign w:val="top"/>
          </w:tcPr>
          <w:p>
            <w:r>
              <w:t>xUnit-compatible automated tests; architecture tests may use a dependency-rule library if desired.</w:t>
            </w:r>
          </w:p>
        </w:tc>
      </w:tr>
    </w:tbl>
    <w:p>
      <w:r>
        <w:t>Package versions must be compatible with the selected .NET target. Avoid adding packages not required by this specification.</w:t>
      </w:r>
    </w:p>
    <w:p>
      <w:pPr>
        <w:pStyle w:val="Heading1"/>
      </w:pPr>
      <w:r>
        <w:t>6. Foundation Design Requirements</w:t>
      </w:r>
    </w:p>
    <w:p>
      <w:pPr>
        <w:pStyle w:val="Heading2"/>
      </w:pPr>
      <w:r>
        <w:t>6.1 Application Registration</w:t>
      </w:r>
    </w:p>
    <w:p>
      <w:pPr>
        <w:pStyle w:val="ListBullet"/>
      </w:pPr>
      <w:r>
        <w:t>Provide AddApplication(...) extension registration.</w:t>
      </w:r>
    </w:p>
    <w:p>
      <w:pPr>
        <w:pStyle w:val="ListBullet"/>
      </w:pPr>
      <w:r>
        <w:t>Register MediatR handlers from the Application assembly.</w:t>
      </w:r>
    </w:p>
    <w:p>
      <w:pPr>
        <w:pStyle w:val="ListBullet"/>
      </w:pPr>
      <w:r>
        <w:t>Register FluentValidation validators from the Application assembly.</w:t>
      </w:r>
    </w:p>
    <w:p>
      <w:pPr>
        <w:pStyle w:val="ListBullet"/>
      </w:pPr>
      <w:r>
        <w:t>Register the validation pipeline behavior once.</w:t>
      </w:r>
    </w:p>
    <w:p>
      <w:pPr>
        <w:pStyle w:val="ListBullet"/>
      </w:pPr>
      <w:r>
        <w:t>The Application project must not reference Infrastructure.</w:t>
      </w:r>
    </w:p>
    <w:p>
      <w:pPr>
        <w:pStyle w:val="Heading2"/>
      </w:pPr>
      <w:r>
        <w:t>6.2 Validation Pipeline</w:t>
      </w:r>
    </w:p>
    <w:p>
      <w:pPr>
        <w:pStyle w:val="ListBullet"/>
      </w:pPr>
      <w:r>
        <w:t>If no validator exists for a request, execution continues normally.</w:t>
      </w:r>
    </w:p>
    <w:p>
      <w:pPr>
        <w:pStyle w:val="ListBullet"/>
      </w:pPr>
      <w:r>
        <w:t>If validators exist and all pass, execution continues to the handler.</w:t>
      </w:r>
    </w:p>
    <w:p>
      <w:pPr>
        <w:pStyle w:val="ListBullet"/>
      </w:pPr>
      <w:r>
        <w:t>If validation fails, the handler must not execute.</w:t>
      </w:r>
    </w:p>
    <w:p>
      <w:pPr>
        <w:pStyle w:val="ListBullet"/>
      </w:pPr>
      <w:r>
        <w:t>Validation failures must reach the API exception layer and be returned as a consistent client error representation.</w:t>
      </w:r>
    </w:p>
    <w:p>
      <w:pPr>
        <w:pStyle w:val="ListBullet"/>
      </w:pPr>
      <w:r>
        <w:t>Business-specific validators are not part of this phase.</w:t>
      </w:r>
    </w:p>
    <w:p>
      <w:pPr>
        <w:pStyle w:val="Heading2"/>
      </w:pPr>
      <w:r>
        <w:t>6.3 Domain Events</w:t>
      </w:r>
    </w:p>
    <w:p>
      <w:pPr>
        <w:pStyle w:val="ListBullet"/>
      </w:pPr>
      <w:r>
        <w:t>Define an IDomainEvent abstraction suitable for events raised by future domain entities.</w:t>
      </w:r>
    </w:p>
    <w:p>
      <w:pPr>
        <w:pStyle w:val="ListBullet"/>
      </w:pPr>
      <w:r>
        <w:t>Provide a minimal mechanism for future aggregate/entity types to collect and clear domain events.</w:t>
      </w:r>
    </w:p>
    <w:p>
      <w:pPr>
        <w:pStyle w:val="ListBullet"/>
      </w:pPr>
      <w:r>
        <w:t>Do not invent ERP domain events in this phase.</w:t>
      </w:r>
    </w:p>
    <w:p>
      <w:pPr>
        <w:pStyle w:val="ListBullet"/>
      </w:pPr>
      <w:r>
        <w:t>Do not add an external message broker or distributed event bus.</w:t>
      </w:r>
    </w:p>
    <w:p>
      <w:pPr>
        <w:pStyle w:val="Heading2"/>
      </w:pPr>
      <w:r>
        <w:t>6.4 Persistence</w:t>
      </w:r>
    </w:p>
    <w:p>
      <w:pPr>
        <w:pStyle w:val="ListBullet"/>
      </w:pPr>
      <w:r>
        <w:t>Create JTradeERPDbContext in Infrastructure.</w:t>
      </w:r>
    </w:p>
    <w:p>
      <w:pPr>
        <w:pStyle w:val="ListBullet"/>
      </w:pPr>
      <w:r>
        <w:t>Register it with SQL Server through configuration/DI.</w:t>
      </w:r>
    </w:p>
    <w:p>
      <w:pPr>
        <w:pStyle w:val="ListBullet"/>
      </w:pPr>
      <w:r>
        <w:t>DbContext configuration must not hard-code connection strings.</w:t>
      </w:r>
    </w:p>
    <w:p>
      <w:pPr>
        <w:pStyle w:val="ListBullet"/>
      </w:pPr>
      <w:r>
        <w:t>Provide an application-facing abstraction only if needed to preserve layer separation; avoid generic repository abstractions unless a concrete parent requirement later needs them.</w:t>
      </w:r>
    </w:p>
    <w:p>
      <w:pPr>
        <w:pStyle w:val="ListBullet"/>
      </w:pPr>
      <w:r>
        <w:t>DbContext must be ready for entity configurations to be added per module/feature.</w:t>
      </w:r>
    </w:p>
    <w:p>
      <w:pPr>
        <w:pStyle w:val="ListBullet"/>
      </w:pPr>
      <w:r>
        <w:t>Do not create ERP tables merely to prove connectivity.</w:t>
      </w:r>
    </w:p>
    <w:p>
      <w:pPr>
        <w:pStyle w:val="ListBullet"/>
      </w:pPr>
      <w:r>
        <w:t>Do not create a fake initial business migration. The first business migration belongs with the first approved data model.</w:t>
      </w:r>
    </w:p>
    <w:p>
      <w:pPr>
        <w:pStyle w:val="Heading2"/>
      </w:pPr>
      <w:r>
        <w:t>6.5 Transactions</w:t>
      </w:r>
    </w:p>
    <w:p>
      <w:pPr>
        <w:pStyle w:val="ListBullet"/>
      </w:pPr>
      <w:r>
        <w:t>The persistence design must allow handlers to use EF Core database transactions for later posting operations.</w:t>
      </w:r>
    </w:p>
    <w:p>
      <w:pPr>
        <w:pStyle w:val="ListBullet"/>
      </w:pPr>
      <w:r>
        <w:t>Do not add a global transaction around every request.</w:t>
      </w:r>
    </w:p>
    <w:p>
      <w:pPr>
        <w:pStyle w:val="ListBullet"/>
      </w:pPr>
      <w:r>
        <w:t>Do not implement invoice/GRN/stock transaction behavior in this phase.</w:t>
      </w:r>
    </w:p>
    <w:p>
      <w:pPr>
        <w:pStyle w:val="Heading2"/>
      </w:pPr>
      <w:r>
        <w:t>6.6 Exception Handling and Problem Details</w:t>
      </w:r>
    </w:p>
    <w:p>
      <w:pPr>
        <w:pStyle w:val="ListBullet"/>
      </w:pPr>
      <w:r>
        <w:t>Use centralized exception handling in Api.</w:t>
      </w:r>
    </w:p>
    <w:p>
      <w:pPr>
        <w:pStyle w:val="ListBullet"/>
      </w:pPr>
      <w:r>
        <w:t>Validation errors must map to an HTTP 400-class response with useful field/error information.</w:t>
      </w:r>
    </w:p>
    <w:p>
      <w:pPr>
        <w:pStyle w:val="ListBullet"/>
      </w:pPr>
      <w:r>
        <w:t>Unexpected exceptions must map to HTTP 500 without leaking stack traces or sensitive internals in production.</w:t>
      </w:r>
    </w:p>
    <w:p>
      <w:pPr>
        <w:pStyle w:val="ListBullet"/>
      </w:pPr>
      <w:r>
        <w:t>Future domain/not-found/conflict mappings may be extended by later feature specifications.</w:t>
      </w:r>
    </w:p>
    <w:p>
      <w:pPr>
        <w:pStyle w:val="ListBullet"/>
      </w:pPr>
      <w:r>
        <w:t>Unhandled exceptions must be logged.</w:t>
      </w:r>
    </w:p>
    <w:p>
      <w:pPr>
        <w:pStyle w:val="Heading2"/>
      </w:pPr>
      <w:r>
        <w:t>6.7 Statelessness</w:t>
      </w:r>
    </w:p>
    <w:p>
      <w:pPr>
        <w:pStyle w:val="ListBullet"/>
      </w:pPr>
      <w:r>
        <w:t>No business state, authentication session state, stock state, numbering state, or workflow state may be stored in static/in-memory process collections.</w:t>
      </w:r>
    </w:p>
    <w:p>
      <w:pPr>
        <w:pStyle w:val="ListBullet"/>
      </w:pPr>
      <w:r>
        <w:t>DI registrations must use appropriate lifetimes; DbContext is scoped.</w:t>
      </w:r>
    </w:p>
    <w:p>
      <w:pPr>
        <w:pStyle w:val="ListBullet"/>
      </w:pPr>
      <w:r>
        <w:t>The API must be able to run as multiple instances against the same database without relying on a single server's memory.</w:t>
      </w:r>
    </w:p>
    <w:p>
      <w:pPr>
        <w:pStyle w:val="Heading2"/>
      </w:pPr>
      <w:r>
        <w:t>6.8 Configuration and Secrets</w:t>
      </w:r>
    </w:p>
    <w:p>
      <w:pPr>
        <w:pStyle w:val="ListBullet"/>
      </w:pPr>
      <w:r>
        <w:t>Use appsettings.json/appsettings.Development.json and environment/user-secret mechanisms appropriately.</w:t>
      </w:r>
    </w:p>
    <w:p>
      <w:pPr>
        <w:pStyle w:val="ListBullet"/>
      </w:pPr>
      <w:r>
        <w:t>A connection-string key may exist in configuration, but real credentials must not be committed.</w:t>
      </w:r>
    </w:p>
    <w:p>
      <w:pPr>
        <w:pStyle w:val="ListBullet"/>
      </w:pPr>
      <w:r>
        <w:t>Validate required production configuration at startup where practical.</w:t>
      </w:r>
    </w:p>
    <w:p>
      <w:pPr>
        <w:pStyle w:val="ListBullet"/>
      </w:pPr>
      <w:r>
        <w:t>Do not introduce multi-currency, branch/company rules, or other settings not yet specified for implementation.</w:t>
      </w:r>
    </w:p>
    <w:p>
      <w:pPr>
        <w:pStyle w:val="Heading2"/>
      </w:pPr>
      <w:r>
        <w:t>6.9 Health Checks</w:t>
      </w:r>
    </w:p>
    <w:p>
      <w:pPr>
        <w:pStyle w:val="ListBullet"/>
      </w:pPr>
      <w:r>
        <w:t>Expose a basic API health endpoint.</w:t>
      </w:r>
    </w:p>
    <w:p>
      <w:pPr>
        <w:pStyle w:val="ListBullet"/>
      </w:pPr>
      <w:r>
        <w:t>Include a SQL Server/DbContext health check so deployment can distinguish process health from database connectivity.</w:t>
      </w:r>
    </w:p>
    <w:p>
      <w:pPr>
        <w:pStyle w:val="ListBullet"/>
      </w:pPr>
      <w:r>
        <w:t>The health endpoint must not expose secrets.</w:t>
      </w:r>
    </w:p>
    <w:p>
      <w:pPr>
        <w:pStyle w:val="Heading1"/>
      </w:pPr>
      <w:r>
        <w:t>7. API Composition Root Requirements</w:t>
      </w:r>
    </w:p>
    <w:p>
      <w:pPr>
        <w:pStyle w:val="ListBullet"/>
      </w:pPr>
      <w:r>
        <w:t>Program.cs remains a composition root: register services, middleware and endpoint modules; do not place business rules in Program.cs.</w:t>
      </w:r>
    </w:p>
    <w:p>
      <w:pPr>
        <w:pStyle w:val="ListBullet"/>
      </w:pPr>
      <w:r>
        <w:t>Wire AddApplication and AddInfrastructure from their respective projects.</w:t>
      </w:r>
    </w:p>
    <w:p>
      <w:pPr>
        <w:pStyle w:val="ListBullet"/>
      </w:pPr>
      <w:r>
        <w:t>Enable ProblemDetails/exception handling.</w:t>
      </w:r>
    </w:p>
    <w:p>
      <w:pPr>
        <w:pStyle w:val="ListBullet"/>
      </w:pPr>
      <w:r>
        <w:t>Map health checks.</w:t>
      </w:r>
    </w:p>
    <w:p>
      <w:pPr>
        <w:pStyle w:val="ListBullet"/>
      </w:pPr>
      <w:r>
        <w:t>Do not globally mark endpoints anonymous as a shortcut. Authentication will be added in its dedicated phase; future business endpoints must comply with §2.5.</w:t>
      </w:r>
    </w:p>
    <w:p>
      <w:pPr>
        <w:pStyle w:val="ListBullet"/>
      </w:pPr>
      <w:r>
        <w:t>Swagger/OpenAPI may be enabled for development if already part of the project, but it is not a substitute for tests.</w:t>
      </w:r>
    </w:p>
    <w:p>
      <w:pPr>
        <w:pStyle w:val="Heading1"/>
      </w:pPr>
      <w:r>
        <w:t>8. Spec-Driven Development Workflow</w:t>
      </w:r>
    </w:p>
    <w:p>
      <w:pPr>
        <w:pStyle w:val="ListNumber"/>
      </w:pPr>
      <w:r>
        <w:t>Treat this document as the implementation contract for BF-01.</w:t>
      </w:r>
    </w:p>
    <w:p>
      <w:pPr>
        <w:pStyle w:val="ListNumber"/>
      </w:pPr>
      <w:r>
        <w:t>Before coding, inspect the repository and identify existing files that already satisfy requirements; preserve compatible code.</w:t>
      </w:r>
    </w:p>
    <w:p>
      <w:pPr>
        <w:pStyle w:val="ListNumber"/>
      </w:pPr>
      <w:r>
        <w:t>Implement only requirements explicitly marked In Scope.</w:t>
      </w:r>
    </w:p>
    <w:p>
      <w:pPr>
        <w:pStyle w:val="ListNumber"/>
      </w:pPr>
      <w:r>
        <w:t>For each requirement, add or update automated tests first or alongside implementation.</w:t>
      </w:r>
    </w:p>
    <w:p>
      <w:pPr>
        <w:pStyle w:val="ListNumber"/>
      </w:pPr>
      <w:r>
        <w:t>Run restore/build/tests.</w:t>
      </w:r>
    </w:p>
    <w:p>
      <w:pPr>
        <w:pStyle w:val="ListNumber"/>
      </w:pPr>
      <w:r>
        <w:t>Fix failures without broadening scope.</w:t>
      </w:r>
    </w:p>
    <w:p>
      <w:pPr>
        <w:pStyle w:val="ListNumber"/>
      </w:pPr>
      <w:r>
        <w:t>Produce a completion report mapping each acceptance criterion to files/tests.</w:t>
      </w:r>
    </w:p>
    <w:p>
      <w:pPr>
        <w:pStyle w:val="ListNumber"/>
      </w:pPr>
      <w:r>
        <w:t>Do not start Master Data until BF-01 acceptance criteria pass.</w:t>
      </w:r>
    </w:p>
    <w:p>
      <w:pPr>
        <w:pStyle w:val="Heading1"/>
      </w:pPr>
      <w:r>
        <w:t>9.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Acceptance criterion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BF-AC-001</w:t>
            </w:r>
          </w:p>
        </w:tc>
        <w:tc>
          <w:tcPr>
            <w:tcW w:type="dxa" w:w="5040"/>
            <w:vAlign w:val="top"/>
          </w:tcPr>
          <w:p>
            <w:r>
              <w:t>Solution contains Domain, Application, Infrastructure and Api projects plus specified test projects.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BF-AC-002</w:t>
            </w:r>
          </w:p>
        </w:tc>
        <w:tc>
          <w:tcPr>
            <w:tcW w:type="dxa" w:w="5040"/>
            <w:vAlign w:val="top"/>
          </w:tcPr>
          <w:p>
            <w:r>
              <w:t>Project references enforce the dependency direction defined in §4.2.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BF-AC-003</w:t>
            </w:r>
          </w:p>
        </w:tc>
        <w:tc>
          <w:tcPr>
            <w:tcW w:type="dxa" w:w="5040"/>
            <w:vAlign w:val="top"/>
          </w:tcPr>
          <w:p>
            <w:r>
              <w:t>Entire solution restores and builds with zero compilation errors.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BF-AC-004</w:t>
            </w:r>
          </w:p>
        </w:tc>
        <w:tc>
          <w:tcPr>
            <w:tcW w:type="dxa" w:w="5040"/>
            <w:vAlign w:val="top"/>
          </w:tcPr>
          <w:p>
            <w:r>
              <w:t>Application DI registration resolves MediatR and validation pipeline dependencies.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BF-AC-005</w:t>
            </w:r>
          </w:p>
        </w:tc>
        <w:tc>
          <w:tcPr>
            <w:tcW w:type="dxa" w:w="5040"/>
            <w:vAlign w:val="top"/>
          </w:tcPr>
          <w:p>
            <w:r>
              <w:t>A valid MediatR request with no validation errors reaches its handler.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BF-AC-006</w:t>
            </w:r>
          </w:p>
        </w:tc>
        <w:tc>
          <w:tcPr>
            <w:tcW w:type="dxa" w:w="5040"/>
            <w:vAlign w:val="top"/>
          </w:tcPr>
          <w:p>
            <w:r>
              <w:t>An invalid request with a validator does not reach its handler and produces a validation failure.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BF-AC-007</w:t>
            </w:r>
          </w:p>
        </w:tc>
        <w:tc>
          <w:tcPr>
            <w:tcW w:type="dxa" w:w="5040"/>
            <w:vAlign w:val="top"/>
          </w:tcPr>
          <w:p>
            <w:r>
              <w:t>JTradeERPDbContext is registered as scoped and configured for SQL Server from configuration.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BF-AC-008</w:t>
            </w:r>
          </w:p>
        </w:tc>
        <w:tc>
          <w:tcPr>
            <w:tcW w:type="dxa" w:w="5040"/>
            <w:vAlign w:val="top"/>
          </w:tcPr>
          <w:p>
            <w:r>
              <w:t>No real database credentials or secrets are committed.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BF-AC-009</w:t>
            </w:r>
          </w:p>
        </w:tc>
        <w:tc>
          <w:tcPr>
            <w:tcW w:type="dxa" w:w="5040"/>
            <w:vAlign w:val="top"/>
          </w:tcPr>
          <w:p>
            <w:r>
              <w:t>API starts successfully with valid development configuration.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BF-AC-010</w:t>
            </w:r>
          </w:p>
        </w:tc>
        <w:tc>
          <w:tcPr>
            <w:tcW w:type="dxa" w:w="5040"/>
            <w:vAlign w:val="top"/>
          </w:tcPr>
          <w:p>
            <w:r>
              <w:t>Centralized exception handling returns ProblemDetails-style client responses and does not expose stack traces in production.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BF-AC-011</w:t>
            </w:r>
          </w:p>
        </w:tc>
        <w:tc>
          <w:tcPr>
            <w:tcW w:type="dxa" w:w="5040"/>
            <w:vAlign w:val="top"/>
          </w:tcPr>
          <w:p>
            <w:r>
              <w:t>Unhandled exceptions are logged through ILogger.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BF-AC-012</w:t>
            </w:r>
          </w:p>
        </w:tc>
        <w:tc>
          <w:tcPr>
            <w:tcW w:type="dxa" w:w="5040"/>
            <w:vAlign w:val="top"/>
          </w:tcPr>
          <w:p>
            <w:r>
              <w:t>Health endpoint reports API health; database health is represented when SQL Server is configured/reachable.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BF-AC-013</w:t>
            </w:r>
          </w:p>
        </w:tc>
        <w:tc>
          <w:tcPr>
            <w:tcW w:type="dxa" w:w="5040"/>
            <w:vAlign w:val="top"/>
          </w:tcPr>
          <w:p>
            <w:r>
              <w:t>Domain has no dependency on EF Core, ASP.NET Core or Infrastructure.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BF-AC-014</w:t>
            </w:r>
          </w:p>
        </w:tc>
        <w:tc>
          <w:tcPr>
            <w:tcW w:type="dxa" w:w="5040"/>
            <w:vAlign w:val="top"/>
          </w:tcPr>
          <w:p>
            <w:r>
              <w:t>Application has no dependency on Infrastructure or Api.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BF-AC-015</w:t>
            </w:r>
          </w:p>
        </w:tc>
        <w:tc>
          <w:tcPr>
            <w:tcW w:type="dxa" w:w="5040"/>
            <w:vAlign w:val="top"/>
          </w:tcPr>
          <w:p>
            <w:r>
              <w:t>No business modules/entities/endpoints listed in §3.2 are implemented as part of BF-01.</w:t>
            </w:r>
          </w:p>
        </w:tc>
      </w:tr>
      <w:tr>
        <w:tc>
          <w:tcPr>
            <w:tcW w:type="dxa" w:w="5040"/>
            <w:vAlign w:val="top"/>
          </w:tcPr>
          <w:p>
            <w:r>
              <w:t>BF-AC-016</w:t>
            </w:r>
          </w:p>
        </w:tc>
        <w:tc>
          <w:tcPr>
            <w:tcW w:type="dxa" w:w="5040"/>
            <w:vAlign w:val="top"/>
          </w:tcPr>
          <w:p>
            <w:r>
              <w:t>No process-memory mechanism is introduced for durable ERP state.</w:t>
            </w:r>
          </w:p>
        </w:tc>
      </w:tr>
    </w:tbl>
    <w:p>
      <w:pPr>
        <w:pStyle w:val="Heading1"/>
      </w:pPr>
      <w:r>
        <w:t>10. Required Automated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  <w:vAlign w:val="top"/>
          </w:tcPr>
          <w:p>
            <w:r>
              <w:t>Architecture</w:t>
            </w:r>
          </w:p>
        </w:tc>
        <w:tc>
          <w:tcPr>
            <w:tcW w:type="dxa" w:w="3360"/>
            <w:vAlign w:val="top"/>
          </w:tcPr>
          <w:p>
            <w:r>
              <w:t>Domain_DoesNotReference_ApplicationInfrastructureOrApi</w:t>
            </w:r>
          </w:p>
        </w:tc>
        <w:tc>
          <w:tcPr>
            <w:tcW w:type="dxa" w:w="3360"/>
            <w:vAlign w:val="top"/>
          </w:tcPr>
          <w:p>
            <w:r>
              <w:t>Prevents layer inversion.</w:t>
            </w:r>
          </w:p>
        </w:tc>
      </w:tr>
      <w:tr>
        <w:tc>
          <w:tcPr>
            <w:tcW w:type="dxa" w:w="3360"/>
            <w:vAlign w:val="top"/>
          </w:tcPr>
          <w:p>
            <w:r>
              <w:t>Architecture</w:t>
            </w:r>
          </w:p>
        </w:tc>
        <w:tc>
          <w:tcPr>
            <w:tcW w:type="dxa" w:w="3360"/>
            <w:vAlign w:val="top"/>
          </w:tcPr>
          <w:p>
            <w:r>
              <w:t>Application_DoesNotReference_InfrastructureOrApi</w:t>
            </w:r>
          </w:p>
        </w:tc>
        <w:tc>
          <w:tcPr>
            <w:tcW w:type="dxa" w:w="3360"/>
            <w:vAlign w:val="top"/>
          </w:tcPr>
          <w:p>
            <w:r>
              <w:t>Preserves Clean Architecture boundary.</w:t>
            </w:r>
          </w:p>
        </w:tc>
      </w:tr>
      <w:tr>
        <w:tc>
          <w:tcPr>
            <w:tcW w:type="dxa" w:w="3360"/>
            <w:vAlign w:val="top"/>
          </w:tcPr>
          <w:p>
            <w:r>
              <w:t>Architecture</w:t>
            </w:r>
          </w:p>
        </w:tc>
        <w:tc>
          <w:tcPr>
            <w:tcW w:type="dxa" w:w="3360"/>
            <w:vAlign w:val="top"/>
          </w:tcPr>
          <w:p>
            <w:r>
              <w:t>Infrastructure_DoesNotReference_Api</w:t>
            </w:r>
          </w:p>
        </w:tc>
        <w:tc>
          <w:tcPr>
            <w:tcW w:type="dxa" w:w="3360"/>
            <w:vAlign w:val="top"/>
          </w:tcPr>
          <w:p>
            <w:r>
              <w:t>Keeps presentation outside infrastructure.</w:t>
            </w:r>
          </w:p>
        </w:tc>
      </w:tr>
      <w:tr>
        <w:tc>
          <w:tcPr>
            <w:tcW w:type="dxa" w:w="3360"/>
            <w:vAlign w:val="top"/>
          </w:tcPr>
          <w:p>
            <w:r>
              <w:t>Application Unit</w:t>
            </w:r>
          </w:p>
        </w:tc>
        <w:tc>
          <w:tcPr>
            <w:tcW w:type="dxa" w:w="3360"/>
            <w:vAlign w:val="top"/>
          </w:tcPr>
          <w:p>
            <w:r>
              <w:t>ValidationBehavior_WithValidRequest_CallsNext</w:t>
            </w:r>
          </w:p>
        </w:tc>
        <w:tc>
          <w:tcPr>
            <w:tcW w:type="dxa" w:w="3360"/>
            <w:vAlign w:val="top"/>
          </w:tcPr>
          <w:p>
            <w:r>
              <w:t>Confirms normal CQRS execution.</w:t>
            </w:r>
          </w:p>
        </w:tc>
      </w:tr>
      <w:tr>
        <w:tc>
          <w:tcPr>
            <w:tcW w:type="dxa" w:w="3360"/>
            <w:vAlign w:val="top"/>
          </w:tcPr>
          <w:p>
            <w:r>
              <w:t>Application Unit</w:t>
            </w:r>
          </w:p>
        </w:tc>
        <w:tc>
          <w:tcPr>
            <w:tcW w:type="dxa" w:w="3360"/>
            <w:vAlign w:val="top"/>
          </w:tcPr>
          <w:p>
            <w:r>
              <w:t>ValidationBehavior_WithInvalidRequest_ThrowsValidationFailure</w:t>
            </w:r>
          </w:p>
        </w:tc>
        <w:tc>
          <w:tcPr>
            <w:tcW w:type="dxa" w:w="3360"/>
            <w:vAlign w:val="top"/>
          </w:tcPr>
          <w:p>
            <w:r>
              <w:t>Confirms validators stop handler execution.</w:t>
            </w:r>
          </w:p>
        </w:tc>
      </w:tr>
      <w:tr>
        <w:tc>
          <w:tcPr>
            <w:tcW w:type="dxa" w:w="3360"/>
            <w:vAlign w:val="top"/>
          </w:tcPr>
          <w:p>
            <w:r>
              <w:t>Application Unit</w:t>
            </w:r>
          </w:p>
        </w:tc>
        <w:tc>
          <w:tcPr>
            <w:tcW w:type="dxa" w:w="3360"/>
            <w:vAlign w:val="top"/>
          </w:tcPr>
          <w:p>
            <w:r>
              <w:t>ValidationBehavior_WithNoValidators_CallsNext</w:t>
            </w:r>
          </w:p>
        </w:tc>
        <w:tc>
          <w:tcPr>
            <w:tcW w:type="dxa" w:w="3360"/>
            <w:vAlign w:val="top"/>
          </w:tcPr>
          <w:p>
            <w:r>
              <w:t>Avoids requiring validators for every request.</w:t>
            </w:r>
          </w:p>
        </w:tc>
      </w:tr>
      <w:tr>
        <w:tc>
          <w:tcPr>
            <w:tcW w:type="dxa" w:w="3360"/>
            <w:vAlign w:val="top"/>
          </w:tcPr>
          <w:p>
            <w:r>
              <w:t>Integration</w:t>
            </w:r>
          </w:p>
        </w:tc>
        <w:tc>
          <w:tcPr>
            <w:tcW w:type="dxa" w:w="3360"/>
            <w:vAlign w:val="top"/>
          </w:tcPr>
          <w:p>
            <w:r>
              <w:t>HealthEndpoint_ReturnsSuccess_WhenAppHealthy</w:t>
            </w:r>
          </w:p>
        </w:tc>
        <w:tc>
          <w:tcPr>
            <w:tcW w:type="dxa" w:w="3360"/>
            <w:vAlign w:val="top"/>
          </w:tcPr>
          <w:p>
            <w:r>
              <w:t>Confirms hosting/middleware wiring.</w:t>
            </w:r>
          </w:p>
        </w:tc>
      </w:tr>
      <w:tr>
        <w:tc>
          <w:tcPr>
            <w:tcW w:type="dxa" w:w="3360"/>
            <w:vAlign w:val="top"/>
          </w:tcPr>
          <w:p>
            <w:r>
              <w:t>Integration</w:t>
            </w:r>
          </w:p>
        </w:tc>
        <w:tc>
          <w:tcPr>
            <w:tcW w:type="dxa" w:w="3360"/>
            <w:vAlign w:val="top"/>
          </w:tcPr>
          <w:p>
            <w:r>
              <w:t>UnhandledException_IsConvertedToProblemDetails</w:t>
            </w:r>
          </w:p>
        </w:tc>
        <w:tc>
          <w:tcPr>
            <w:tcW w:type="dxa" w:w="3360"/>
            <w:vAlign w:val="top"/>
          </w:tcPr>
          <w:p>
            <w:r>
              <w:t>Confirms centralized error handling.</w:t>
            </w:r>
          </w:p>
        </w:tc>
      </w:tr>
      <w:tr>
        <w:tc>
          <w:tcPr>
            <w:tcW w:type="dxa" w:w="3360"/>
            <w:vAlign w:val="top"/>
          </w:tcPr>
          <w:p>
            <w:r>
              <w:t>Integration</w:t>
            </w:r>
          </w:p>
        </w:tc>
        <w:tc>
          <w:tcPr>
            <w:tcW w:type="dxa" w:w="3360"/>
            <w:vAlign w:val="top"/>
          </w:tcPr>
          <w:p>
            <w:r>
              <w:t>ValidationFailure_ReturnsClientError</w:t>
            </w:r>
          </w:p>
        </w:tc>
        <w:tc>
          <w:tcPr>
            <w:tcW w:type="dxa" w:w="3360"/>
            <w:vAlign w:val="top"/>
          </w:tcPr>
          <w:p>
            <w:r>
              <w:t>Confirms validation-to-HTTP behavior.</w:t>
            </w:r>
          </w:p>
        </w:tc>
      </w:tr>
      <w:tr>
        <w:tc>
          <w:tcPr>
            <w:tcW w:type="dxa" w:w="3360"/>
            <w:vAlign w:val="top"/>
          </w:tcPr>
          <w:p>
            <w:r>
              <w:t>Integration</w:t>
            </w:r>
          </w:p>
        </w:tc>
        <w:tc>
          <w:tcPr>
            <w:tcW w:type="dxa" w:w="3360"/>
            <w:vAlign w:val="top"/>
          </w:tcPr>
          <w:p>
            <w:r>
              <w:t>DbContext_IsScopedAndResolvable</w:t>
            </w:r>
          </w:p>
        </w:tc>
        <w:tc>
          <w:tcPr>
            <w:tcW w:type="dxa" w:w="3360"/>
            <w:vAlign w:val="top"/>
          </w:tcPr>
          <w:p>
            <w:r>
              <w:t>Confirms DI/persistence registration.</w:t>
            </w:r>
          </w:p>
        </w:tc>
      </w:tr>
    </w:tbl>
    <w:p>
      <w:pPr>
        <w:pStyle w:val="Heading2"/>
      </w:pPr>
      <w:r>
        <w:t>10.1 Tests Deferred to Later Specs</w:t>
      </w:r>
    </w:p>
    <w:p>
      <w:r>
        <w:t>Do NOT write fake tests for business behavior that does not exist yet. The following belong to later feature specs: product uniqueness, VAT snapshotting, stock rowversion concurrency, idempotent posting, stock reservations, GRN weighted-average cost, permissions/JWT, audit-log persistence, number-series concurrency, and Dapper reports.</w:t>
      </w:r>
    </w:p>
    <w:p>
      <w:pPr>
        <w:pStyle w:val="Heading1"/>
      </w:pPr>
      <w:r>
        <w:t>11. Definition of Done</w:t>
      </w:r>
    </w:p>
    <w:p>
      <w:pPr>
        <w:pStyle w:val="ListBullet"/>
      </w:pPr>
      <w:r>
        <w:t>All BF-AC criteria pass.</w:t>
      </w:r>
    </w:p>
    <w:p>
      <w:pPr>
        <w:pStyle w:val="ListBullet"/>
      </w:pPr>
      <w:r>
        <w:t>dotnet build succeeds.</w:t>
      </w:r>
    </w:p>
    <w:p>
      <w:pPr>
        <w:pStyle w:val="ListBullet"/>
      </w:pPr>
      <w:r>
        <w:t>dotnet test succeeds.</w:t>
      </w:r>
    </w:p>
    <w:p>
      <w:pPr>
        <w:pStyle w:val="ListBullet"/>
      </w:pPr>
      <w:r>
        <w:t>No prohibited business feature has been introduced.</w:t>
      </w:r>
    </w:p>
    <w:p>
      <w:pPr>
        <w:pStyle w:val="ListBullet"/>
      </w:pPr>
      <w:r>
        <w:t>No committed secret/credential is present.</w:t>
      </w:r>
    </w:p>
    <w:p>
      <w:pPr>
        <w:pStyle w:val="ListBullet"/>
      </w:pPr>
      <w:r>
        <w:t>README or developer notes contain only the minimum setup needed to run the backend and configure the database.</w:t>
      </w:r>
    </w:p>
    <w:p>
      <w:pPr>
        <w:pStyle w:val="ListBullet"/>
      </w:pPr>
      <w:r>
        <w:t>Implementation report lists created/modified files, tests run, and any unresolved issue without claiming completion for deferred work.</w:t>
      </w:r>
    </w:p>
    <w:p>
      <w:pPr>
        <w:pStyle w:val="Heading1"/>
      </w:pPr>
      <w:r>
        <w:t>12.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Foundation item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Parent source</w:t>
            </w:r>
          </w:p>
        </w:tc>
      </w:tr>
      <w:tr>
        <w:tc>
          <w:tcPr>
            <w:tcW w:type="dxa" w:w="5040"/>
            <w:vAlign w:val="top"/>
          </w:tcPr>
          <w:p>
            <w:r>
              <w:t>Layer separation / project references</w:t>
            </w:r>
          </w:p>
        </w:tc>
        <w:tc>
          <w:tcPr>
            <w:tcW w:type="dxa" w:w="5040"/>
            <w:vAlign w:val="top"/>
          </w:tcPr>
          <w:p>
            <w:r>
              <w:t>§1.5 Architectural Objectives</w:t>
            </w:r>
          </w:p>
        </w:tc>
      </w:tr>
      <w:tr>
        <w:tc>
          <w:tcPr>
            <w:tcW w:type="dxa" w:w="5040"/>
            <w:vAlign w:val="top"/>
          </w:tcPr>
          <w:p>
            <w:r>
              <w:t>MediatR CQRS foundation</w:t>
            </w:r>
          </w:p>
        </w:tc>
        <w:tc>
          <w:tcPr>
            <w:tcW w:type="dxa" w:w="5040"/>
            <w:vAlign w:val="top"/>
          </w:tcPr>
          <w:p>
            <w:r>
              <w:t>§1.1; §1.5</w:t>
            </w:r>
          </w:p>
        </w:tc>
      </w:tr>
      <w:tr>
        <w:tc>
          <w:tcPr>
            <w:tcW w:type="dxa" w:w="5040"/>
            <w:vAlign w:val="top"/>
          </w:tcPr>
          <w:p>
            <w:r>
              <w:t>Domain event abstraction</w:t>
            </w:r>
          </w:p>
        </w:tc>
        <w:tc>
          <w:tcPr>
            <w:tcW w:type="dxa" w:w="5040"/>
            <w:vAlign w:val="top"/>
          </w:tcPr>
          <w:p>
            <w:r>
              <w:t>§1.5</w:t>
            </w:r>
          </w:p>
        </w:tc>
      </w:tr>
      <w:tr>
        <w:tc>
          <w:tcPr>
            <w:tcW w:type="dxa" w:w="5040"/>
            <w:vAlign w:val="top"/>
          </w:tcPr>
          <w:p>
            <w:r>
              <w:t>SQL Server / EF persistence foundation</w:t>
            </w:r>
          </w:p>
        </w:tc>
        <w:tc>
          <w:tcPr>
            <w:tcW w:type="dxa" w:w="5040"/>
            <w:vAlign w:val="top"/>
          </w:tcPr>
          <w:p>
            <w:r>
              <w:t>§1.1; transactional requirements in §1.5</w:t>
            </w:r>
          </w:p>
        </w:tc>
      </w:tr>
      <w:tr>
        <w:tc>
          <w:tcPr>
            <w:tcW w:type="dxa" w:w="5040"/>
            <w:vAlign w:val="top"/>
          </w:tcPr>
          <w:p>
            <w:r>
              <w:t>Transaction capability</w:t>
            </w:r>
          </w:p>
        </w:tc>
        <w:tc>
          <w:tcPr>
            <w:tcW w:type="dxa" w:w="5040"/>
            <w:vAlign w:val="top"/>
          </w:tcPr>
          <w:p>
            <w:r>
              <w:t>§1.5; later FR-BIL-016, FR-STK-006/007/010</w:t>
            </w:r>
          </w:p>
        </w:tc>
      </w:tr>
      <w:tr>
        <w:tc>
          <w:tcPr>
            <w:tcW w:type="dxa" w:w="5040"/>
            <w:vAlign w:val="top"/>
          </w:tcPr>
          <w:p>
            <w:r>
              <w:t>Stateless hosting</w:t>
            </w:r>
          </w:p>
        </w:tc>
        <w:tc>
          <w:tcPr>
            <w:tcW w:type="dxa" w:w="5040"/>
            <w:vAlign w:val="top"/>
          </w:tcPr>
          <w:p>
            <w:r>
              <w:t>§1.5 horizontal scaling</w:t>
            </w:r>
          </w:p>
        </w:tc>
      </w:tr>
      <w:tr>
        <w:tc>
          <w:tcPr>
            <w:tcW w:type="dxa" w:w="5040"/>
            <w:vAlign w:val="top"/>
          </w:tcPr>
          <w:p>
            <w:r>
              <w:t>Validation pipeline</w:t>
            </w:r>
          </w:p>
        </w:tc>
        <w:tc>
          <w:tcPr>
            <w:tcW w:type="dxa" w:w="5040"/>
            <w:vAlign w:val="top"/>
          </w:tcPr>
          <w:p>
            <w:r>
              <w:t>§1.5 consistent validation</w:t>
            </w:r>
          </w:p>
        </w:tc>
      </w:tr>
      <w:tr>
        <w:tc>
          <w:tcPr>
            <w:tcW w:type="dxa" w:w="5040"/>
            <w:vAlign w:val="top"/>
          </w:tcPr>
          <w:p>
            <w:r>
              <w:t>Authorization extension boundary</w:t>
            </w:r>
          </w:p>
        </w:tc>
        <w:tc>
          <w:tcPr>
            <w:tcW w:type="dxa" w:w="5040"/>
            <w:vAlign w:val="top"/>
          </w:tcPr>
          <w:p>
            <w:r>
              <w:t>§1.5; §2.5; FR-ADM-003/004</w:t>
            </w:r>
          </w:p>
        </w:tc>
      </w:tr>
      <w:tr>
        <w:tc>
          <w:tcPr>
            <w:tcW w:type="dxa" w:w="5040"/>
            <w:vAlign w:val="top"/>
          </w:tcPr>
          <w:p>
            <w:r>
              <w:t>Logging / exception handling</w:t>
            </w:r>
          </w:p>
        </w:tc>
        <w:tc>
          <w:tcPr>
            <w:tcW w:type="dxa" w:w="5040"/>
            <w:vAlign w:val="top"/>
          </w:tcPr>
          <w:p>
            <w:r>
              <w:t>§1.5</w:t>
            </w:r>
          </w:p>
        </w:tc>
      </w:tr>
      <w:tr>
        <w:tc>
          <w:tcPr>
            <w:tcW w:type="dxa" w:w="5040"/>
            <w:vAlign w:val="top"/>
          </w:tcPr>
          <w:p>
            <w:r>
              <w:t>Audit deliberately deferred</w:t>
            </w:r>
          </w:p>
        </w:tc>
        <w:tc>
          <w:tcPr>
            <w:tcW w:type="dxa" w:w="5040"/>
            <w:vAlign w:val="top"/>
          </w:tcPr>
          <w:p>
            <w:r>
              <w:t>FR-ADM-007/008/009</w:t>
            </w:r>
          </w:p>
        </w:tc>
      </w:tr>
      <w:tr>
        <w:tc>
          <w:tcPr>
            <w:tcW w:type="dxa" w:w="5040"/>
            <w:vAlign w:val="top"/>
          </w:tcPr>
          <w:p>
            <w:r>
              <w:t>Dapper deliberately deferred</w:t>
            </w:r>
          </w:p>
        </w:tc>
        <w:tc>
          <w:tcPr>
            <w:tcW w:type="dxa" w:w="5040"/>
            <w:vAlign w:val="top"/>
          </w:tcPr>
          <w:p>
            <w:r>
              <w:t>FR-RPT-008</w:t>
            </w:r>
          </w:p>
        </w:tc>
      </w:tr>
      <w:tr>
        <w:tc>
          <w:tcPr>
            <w:tcW w:type="dxa" w:w="5040"/>
            <w:vAlign w:val="top"/>
          </w:tcPr>
          <w:p>
            <w:r>
              <w:t>rowversion deliberately deferred to StockBalance</w:t>
            </w:r>
          </w:p>
        </w:tc>
        <w:tc>
          <w:tcPr>
            <w:tcW w:type="dxa" w:w="5040"/>
            <w:vAlign w:val="top"/>
          </w:tcPr>
          <w:p>
            <w:r>
              <w:t>FR-STK-011</w:t>
            </w:r>
          </w:p>
        </w:tc>
      </w:tr>
    </w:tbl>
    <w:p>
      <w:pPr>
        <w:pStyle w:val="Heading1"/>
      </w:pPr>
      <w:r>
        <w:t>13. Non-Negotiable Implementation Guardrails</w:t>
      </w:r>
    </w:p>
    <w:p>
      <w:pPr>
        <w:pStyle w:val="ListBullet"/>
      </w:pPr>
      <w:r>
        <w:t>Do not reinterpret or expand the parent SRS.</w:t>
      </w:r>
    </w:p>
    <w:p>
      <w:pPr>
        <w:pStyle w:val="ListBullet"/>
      </w:pPr>
      <w:r>
        <w:t>Do not implement speculative abstractions solely because they are common in Clean Architecture.</w:t>
      </w:r>
    </w:p>
    <w:p>
      <w:pPr>
        <w:pStyle w:val="ListBullet"/>
      </w:pPr>
      <w:r>
        <w:t>Do not add a generic repository pattern by default.</w:t>
      </w:r>
    </w:p>
    <w:p>
      <w:pPr>
        <w:pStyle w:val="ListBullet"/>
      </w:pPr>
      <w:r>
        <w:t>Do not add MassTransit, Kafka, RabbitMQ, Redis, distributed cache, background jobs, or an outbox in BF-01.</w:t>
      </w:r>
    </w:p>
    <w:p>
      <w:pPr>
        <w:pStyle w:val="ListBullet"/>
      </w:pPr>
      <w:r>
        <w:t>Do not add business entities just to create a migration.</w:t>
      </w:r>
    </w:p>
    <w:p>
      <w:pPr>
        <w:pStyle w:val="ListBullet"/>
      </w:pPr>
      <w:r>
        <w:t>Do not implement JWT/Identity partially in a way that conflicts with the later Administration/Auth spec.</w:t>
      </w:r>
    </w:p>
    <w:p>
      <w:pPr>
        <w:pStyle w:val="ListBullet"/>
      </w:pPr>
      <w:r>
        <w:t>Do not replace SQL Server with SQLite/InMemory as the production persistence model. Test doubles may be used only where appropriate to the test type.</w:t>
      </w:r>
    </w:p>
    <w:p>
      <w:pPr>
        <w:pStyle w:val="ListBullet"/>
      </w:pPr>
      <w:r>
        <w:t>Do not put business logic in endpoints, middleware, Program.cs, or Infrastructure.</w:t>
      </w:r>
    </w:p>
    <w:p>
      <w:pPr>
        <w:pStyle w:val="ListBullet"/>
      </w:pPr>
      <w:r>
        <w:t>When the parent specification is silent, prefer the smallest reversible foundation decision and document it.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JTradeERP Backend Foundation — BF-01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