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JTradeERP — Master Data Specification</w:t>
      </w:r>
    </w:p>
    <w:p>
      <w:pPr>
        <w:jc w:val="center"/>
      </w:pPr>
      <w:r>
        <w:rPr>
          <w:sz w:val="19"/>
        </w:rPr>
        <w:t>Spec-Driven Development Artifact | Phase MD-01 | Final v2</w:t>
      </w:r>
    </w:p>
    <w:p>
      <w:r>
        <w:rPr>
          <w:sz w:val="19"/>
        </w:rPr>
        <w:t>Parent: Software Requirements &amp; Technical Specification — Basic ERP — Billing and Stock Management</w:t>
      </w:r>
    </w:p>
    <w:p>
      <w:r>
        <w:rPr>
          <w:sz w:val="19"/>
        </w:rPr>
        <w:t>Prerequisite: BF-01 Backend Foundation accepted, solution builds, and foundation tests pass.</w:t>
      </w:r>
    </w:p>
    <w:p>
      <w:pPr>
        <w:pStyle w:val="Heading1"/>
      </w:pPr>
      <w:r>
        <w:t>1. Status, Authority and Phase Goal</w:t>
      </w:r>
    </w:p>
    <w:p>
      <w:r>
        <w:rPr>
          <w:sz w:val="19"/>
        </w:rPr>
        <w:t>This is a child implementation specification. The parent SRS remains authoritative for all parent-defined behavior. MD-01 translates the parent Master Data requirements FR-MST-001 through FR-MST-028 into an implementable backend contract. This revision contains one explicit project-level extension approved by the project owner: Product.Name. Product.Name supplements the parent Product requirements and must not weaken, replace, or reinterpret any FR-MST requirement. Where the parent SRS and this child specification otherwise differ, the parent SRS wins. Where the parent SRS is silent, Codex must use the smallest reversible technical choice and must not invent business policy.</w:t>
      </w:r>
    </w:p>
    <w:p>
      <w:r>
        <w:rPr>
          <w:sz w:val="19"/>
        </w:rPr>
        <w:t>Goal: implement persistent, validated, queryable master records required by later Inventory, Purchasing and Billing phases while preserving Clean Architecture, CQRS, vertical slices, SQL Server persistence, and future authorization compatibility.</w:t>
      </w:r>
    </w:p>
    <w:p>
      <w:pPr>
        <w:pStyle w:val="Heading1"/>
      </w:pPr>
      <w:r>
        <w:t>2. Prerequisite Gate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Gate</w:t>
            </w:r>
          </w:p>
        </w:tc>
        <w:tc>
          <w:tcPr>
            <w:tcW w:type="dxa" w:w="5083"/>
            <w:vAlign w:val="center"/>
          </w:tcPr>
          <w:p>
            <w:r>
              <w:rPr>
                <w:b/>
              </w:rPr>
              <w:t>Required result</w:t>
            </w:r>
          </w:p>
        </w:tc>
      </w:tr>
      <w:tr>
        <w:tc>
          <w:tcPr>
            <w:tcW w:type="dxa" w:w="5083"/>
            <w:vAlign w:val="top"/>
          </w:tcPr>
          <w:p>
            <w:r>
              <w:t>BF-01 build</w:t>
            </w:r>
          </w:p>
        </w:tc>
        <w:tc>
          <w:tcPr>
            <w:tcW w:type="dxa" w:w="5083"/>
            <w:vAlign w:val="top"/>
          </w:tcPr>
          <w:p>
            <w:r>
              <w:t>Entire JTradeERP solution builds successfully.</w:t>
            </w:r>
          </w:p>
        </w:tc>
      </w:tr>
      <w:tr>
        <w:tc>
          <w:tcPr>
            <w:tcW w:type="dxa" w:w="5083"/>
            <w:vAlign w:val="top"/>
          </w:tcPr>
          <w:p>
            <w:r>
              <w:t>BF-01 tests</w:t>
            </w:r>
          </w:p>
        </w:tc>
        <w:tc>
          <w:tcPr>
            <w:tcW w:type="dxa" w:w="5083"/>
            <w:vAlign w:val="top"/>
          </w:tcPr>
          <w:p>
            <w:r>
              <w:t>All foundation architecture/unit/integration tests pass.</w:t>
            </w:r>
          </w:p>
        </w:tc>
      </w:tr>
      <w:tr>
        <w:tc>
          <w:tcPr>
            <w:tcW w:type="dxa" w:w="5083"/>
            <w:vAlign w:val="top"/>
          </w:tcPr>
          <w:p>
            <w:r>
              <w:t>Foundation architecture</w:t>
            </w:r>
          </w:p>
        </w:tc>
        <w:tc>
          <w:tcPr>
            <w:tcW w:type="dxa" w:w="5083"/>
            <w:vAlign w:val="top"/>
          </w:tcPr>
          <w:p>
            <w:r>
              <w:t>Domain/Application/Infrastructure/Api dependency direction remains intact.</w:t>
            </w:r>
          </w:p>
        </w:tc>
      </w:tr>
      <w:tr>
        <w:tc>
          <w:tcPr>
            <w:tcW w:type="dxa" w:w="5083"/>
            <w:vAlign w:val="top"/>
          </w:tcPr>
          <w:p>
            <w:r>
              <w:t>Database configuration</w:t>
            </w:r>
          </w:p>
        </w:tc>
        <w:tc>
          <w:tcPr>
            <w:tcW w:type="dxa" w:w="5083"/>
            <w:vAlign w:val="top"/>
          </w:tcPr>
          <w:p>
            <w:r>
              <w:t>SQL Server DbContext is configured without committed real credentials.</w:t>
            </w:r>
          </w:p>
        </w:tc>
      </w:tr>
      <w:tr>
        <w:tc>
          <w:tcPr>
            <w:tcW w:type="dxa" w:w="5083"/>
            <w:vAlign w:val="top"/>
          </w:tcPr>
          <w:p>
            <w:r>
              <w:t>No manual design prerequisite</w:t>
            </w:r>
          </w:p>
        </w:tc>
        <w:tc>
          <w:tcPr>
            <w:tcW w:type="dxa" w:w="5083"/>
            <w:vAlign w:val="top"/>
          </w:tcPr>
          <w:p>
            <w:r>
              <w:t>Developer does not need to pre-create tables/entities; MD-01 defines them.</w:t>
            </w:r>
          </w:p>
        </w:tc>
      </w:tr>
    </w:tbl>
    <w:p>
      <w:r>
        <w:rPr>
          <w:sz w:val="19"/>
        </w:rPr>
        <w:t>If the repository differs materially from BF-01, Codex must stop broad redesign and report the mismatch instead of silently replacing the architecture.</w:t>
      </w:r>
    </w:p>
    <w:p>
      <w:pPr>
        <w:pStyle w:val="Heading1"/>
      </w:pPr>
      <w:r>
        <w:t>3. Scope</w:t>
      </w:r>
    </w:p>
    <w:p>
      <w:pPr>
        <w:pStyle w:val="Heading2"/>
      </w:pPr>
      <w:r>
        <w:t>3.1 In Scope</w:t>
      </w:r>
    </w:p>
    <w:p>
      <w:pPr>
        <w:pStyle w:val="ListBullet"/>
      </w:pPr>
      <w:r>
        <w:t>Category master data — FR-MST-008 to FR-MST-010.</w:t>
      </w:r>
    </w:p>
    <w:p>
      <w:pPr>
        <w:pStyle w:val="ListBullet"/>
      </w:pPr>
      <w:r>
        <w:t>Unit of Measure (UoM) master data — FR-MST-011 to FR-MST-014.</w:t>
      </w:r>
    </w:p>
    <w:p>
      <w:pPr>
        <w:pStyle w:val="ListBullet"/>
      </w:pPr>
      <w:r>
        <w:t>Tax Code master data — FR-MST-015 to FR-MST-018.</w:t>
      </w:r>
    </w:p>
    <w:p>
      <w:pPr>
        <w:pStyle w:val="ListBullet"/>
      </w:pPr>
      <w:r>
        <w:t>Product master data — FR-MST-001 to FR-MST-007.</w:t>
      </w:r>
    </w:p>
    <w:p>
      <w:pPr>
        <w:pStyle w:val="ListBullet"/>
      </w:pPr>
      <w:r>
        <w:t>Approved project-level extension: Product.Name is required in MD-01 in addition to the parent FR-MST Product fields. This is an explicit project-owner decision, not a claim that the parent SRS requires Product.Name.</w:t>
      </w:r>
    </w:p>
    <w:p>
      <w:pPr>
        <w:pStyle w:val="ListBullet"/>
      </w:pPr>
      <w:r>
        <w:t>Customer and Supplier master data — FR-MST-019 to FR-MST-024.</w:t>
      </w:r>
    </w:p>
    <w:p>
      <w:pPr>
        <w:pStyle w:val="ListBullet"/>
      </w:pPr>
      <w:r>
        <w:t>Warehouse master data — FR-MST-025 to FR-MST-028.</w:t>
      </w:r>
    </w:p>
    <w:p>
      <w:pPr>
        <w:pStyle w:val="ListBullet"/>
      </w:pPr>
      <w:r>
        <w:t>EF Core mappings, SQL Server constraints/indexes, migration(s), CQRS commands/queries/handlers, validators, Minimal API endpoints, and automated tests for these requirements.</w:t>
      </w:r>
    </w:p>
    <w:p>
      <w:pPr>
        <w:pStyle w:val="ListBullet"/>
      </w:pPr>
      <w:r>
        <w:t>Active/inactive behavior and deletion restrictions needed by the parent requirements.</w:t>
      </w:r>
    </w:p>
    <w:p>
      <w:pPr>
        <w:pStyle w:val="ListBullet"/>
      </w:pPr>
      <w:r>
        <w:t>Application-level abstractions necessary to implement these slices without violating layer boundaries.</w:t>
      </w:r>
    </w:p>
    <w:p>
      <w:pPr>
        <w:pStyle w:val="Heading2"/>
      </w:pPr>
      <w:r>
        <w:t>3.2 Explicitly Out of Scope</w:t>
      </w:r>
    </w:p>
    <w:p>
      <w:pPr>
        <w:pStyle w:val="ListBullet"/>
      </w:pPr>
      <w:r>
        <w:t>Authentication/JWT issuance, Identity user/role management and permission-policy implementation. Endpoints must be structured so policies can be attached in the Administration/Auth phase.</w:t>
      </w:r>
    </w:p>
    <w:p>
      <w:pPr>
        <w:pStyle w:val="ListBullet"/>
      </w:pPr>
      <w:r>
        <w:t>Stock balances, stock ledger, opening stock, adjustments, transfers, reservations, reorder alert generation and weighted-average cost.</w:t>
      </w:r>
    </w:p>
    <w:p>
      <w:pPr>
        <w:pStyle w:val="ListBullet"/>
      </w:pPr>
      <w:r>
        <w:t>Purchase orders and GRNs.</w:t>
      </w:r>
    </w:p>
    <w:p>
      <w:pPr>
        <w:pStyle w:val="ListBullet"/>
      </w:pPr>
      <w:r>
        <w:t>Quotations, sales orders, invoices, credit notes and payments.</w:t>
      </w:r>
    </w:p>
    <w:p>
      <w:pPr>
        <w:pStyle w:val="ListBullet"/>
      </w:pPr>
      <w:r>
        <w:t>Tax calculation on posted documents and tax snapshots. MD-01 only manages TaxCode master data.</w:t>
      </w:r>
    </w:p>
    <w:p>
      <w:pPr>
        <w:pStyle w:val="ListBullet"/>
      </w:pPr>
      <w:r>
        <w:t>Customer credit-limit enforcement during orders/posting. MD-01 stores the configurable value only.</w:t>
      </w:r>
    </w:p>
    <w:p>
      <w:pPr>
        <w:pStyle w:val="ListBullet"/>
      </w:pPr>
      <w:r>
        <w:t>UoM conversion logic. Parent FR-MST-014 excludes it unless explicitly configured; no conversion feature is authorized here.</w:t>
      </w:r>
    </w:p>
    <w:p>
      <w:pPr>
        <w:pStyle w:val="ListBullet"/>
      </w:pPr>
      <w:r>
        <w:t>Number series, audit-log persistence, reports/Dapper, Angular frontend.</w:t>
      </w:r>
    </w:p>
    <w:p>
      <w:pPr>
        <w:pStyle w:val="ListBullet"/>
      </w:pPr>
      <w:r>
        <w:t>Company/branch tenancy behavior beyond data-model readiness where necessary. The parent SRS references uniqueness 'within the company' but does not define the Company model in Master Data; do not invent a full tenancy module in MD-01.</w:t>
      </w:r>
    </w:p>
    <w:p>
      <w:pPr>
        <w:pStyle w:val="Heading1"/>
      </w:pPr>
      <w:r>
        <w:t>4. Implementation Order</w:t>
      </w:r>
    </w:p>
    <w:p>
      <w:pPr>
        <w:ind w:left="317"/>
      </w:pPr>
      <w:r>
        <w:rPr>
          <w:rFonts w:ascii="Consolas" w:hAnsi="Consolas"/>
          <w:sz w:val="17"/>
        </w:rPr>
        <w:t>1. Category</w:t>
        <w:br/>
        <w:t>2. UnitOfMeasure</w:t>
        <w:br/>
        <w:t>3. TaxCode</w:t>
        <w:br/>
        <w:t>4. Product</w:t>
        <w:br/>
        <w:t>5. Customer</w:t>
        <w:br/>
        <w:t>6. Supplier</w:t>
        <w:br/>
        <w:t>7. Warehouse</w:t>
      </w:r>
    </w:p>
    <w:p>
      <w:r>
        <w:rPr>
          <w:sz w:val="19"/>
        </w:rPr>
        <w:t>Reason: Product requires Category, stock UoM and TaxCode. Customer/Supplier/Warehouse are independent masters consumed by later transactional phases.</w:t>
      </w:r>
    </w:p>
    <w:p>
      <w:pPr>
        <w:pStyle w:val="Heading1"/>
      </w:pPr>
      <w:r>
        <w:t>5. Architecture and Feature Organization</w:t>
      </w:r>
    </w:p>
    <w:p>
      <w:r>
        <w:t>Continue the BF-01 Clean Architecture and vertical-slice model. Business entities belong in Domain; commands/queries/responses/handlers/validators/EndPoints belong in Application; EF mappings/migrations belong in Infrastructure; Api remains the host/composition root for application startup, dependency injection, middleware, and cross-cutting API configuration.</w:t>
      </w:r>
    </w:p>
    <w:p>
      <w:pPr>
        <w:ind w:left="317"/>
      </w:pPr>
      <w:r>
        <w:rPr>
          <w:rFonts w:ascii="Consolas" w:hAnsi="Consolas"/>
          <w:sz w:val="17"/>
        </w:rPr>
        <w:t>Application/</w:t>
        <w:br/>
        <w:t xml:space="preserve">  Features/</w:t>
        <w:br/>
        <w:t xml:space="preserve">    MasterData/</w:t>
        <w:br/>
        <w:t xml:space="preserve">      Categories/</w:t>
        <w:br/>
        <w:t xml:space="preserve">        CreateCategory/</w:t>
        <w:br/>
        <w:t xml:space="preserve">          CreateCategoryCommand.cs</w:t>
        <w:br/>
        <w:t xml:space="preserve">          CreateCategoryResponse.cs</w:t>
        <w:br/>
        <w:t xml:space="preserve">          CreateCategoryHandler.cs</w:t>
        <w:br/>
        <w:t xml:space="preserve">          CreateCategoryEndPoint.cs</w:t>
        <w:br/>
        <w:t xml:space="preserve">          CreateCategoryValidator.cs</w:t>
        <w:br/>
        <w:t xml:space="preserve">        UpdateCategory/</w:t>
        <w:br/>
        <w:t xml:space="preserve">        GetCategoryById/</w:t>
        <w:br/>
        <w:t xml:space="preserve">        GetCategories/</w:t>
        <w:br/>
        <w:t xml:space="preserve">        ActivateCategory/</w:t>
        <w:br/>
        <w:t xml:space="preserve">        DeactivateCategory/</w:t>
        <w:br/>
        <w:t xml:space="preserve">      UnitsOfMeasure/...</w:t>
        <w:br/>
        <w:t xml:space="preserve">      TaxCodes/...</w:t>
        <w:br/>
        <w:t xml:space="preserve">      Products/...</w:t>
        <w:br/>
        <w:t xml:space="preserve">      Customers/...</w:t>
        <w:br/>
        <w:t xml:space="preserve">      Suppliers/...</w:t>
        <w:br/>
        <w:t xml:space="preserve">      Warehouses/...</w:t>
      </w:r>
    </w:p>
    <w:p>
      <w:r>
        <w:rPr>
          <w:sz w:val="19"/>
        </w:rPr>
        <w:t>Each operation is a self-contained vertical slice. EndPoint files remain thin HTTP adapters: they map the HTTP request to the relevant command/query and return the result; business rules remain in Domain and Application handlers. Exact folder naming may follow the existing BF-01 repository convention, but feature boundaries and layer ownership must remain equivalent. Do not introduce a generic repository merely to standardize CRUD.</w:t>
      </w:r>
    </w:p>
    <w:p>
      <w:pPr>
        <w:pStyle w:val="Heading1"/>
      </w:pPr>
      <w:r>
        <w:t>6. Domain Model Requirements</w:t>
      </w:r>
    </w:p>
    <w:p>
      <w:pPr>
        <w:pStyle w:val="Heading2"/>
      </w:pPr>
      <w:r>
        <w:t>6.1 Category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Name</w:t>
            </w:r>
          </w:p>
        </w:tc>
        <w:tc>
          <w:tcPr>
            <w:tcW w:type="dxa" w:w="5083"/>
            <w:vAlign w:val="top"/>
          </w:tcPr>
          <w:p>
            <w:r>
              <w:t>Required; unique within the applicable company scope per FR-MST-009.</w:t>
            </w:r>
          </w:p>
        </w:tc>
      </w:tr>
      <w:tr>
        <w:tc>
          <w:tcPr>
            <w:tcW w:type="dxa" w:w="5083"/>
            <w:vAlign w:val="top"/>
          </w:tcPr>
          <w:p>
            <w:r>
              <w:t>Active status</w:t>
            </w:r>
          </w:p>
        </w:tc>
        <w:tc>
          <w:tcPr>
            <w:tcW w:type="dxa" w:w="5083"/>
            <w:vAlign w:val="top"/>
          </w:tcPr>
          <w:p>
            <w:r>
              <w:t>May be supported consistently with master-data lifecycle; deletion restriction remains mandatory.</w:t>
            </w:r>
          </w:p>
        </w:tc>
      </w:tr>
      <w:tr>
        <w:tc>
          <w:tcPr>
            <w:tcW w:type="dxa" w:w="5083"/>
            <w:vAlign w:val="top"/>
          </w:tcPr>
          <w:p>
            <w:r>
              <w:t>Deletion</w:t>
            </w:r>
          </w:p>
        </w:tc>
        <w:tc>
          <w:tcPr>
            <w:tcW w:type="dxa" w:w="5083"/>
            <w:vAlign w:val="top"/>
          </w:tcPr>
          <w:p>
            <w:r>
              <w:t>A Category referenced by any Product must not be deleted (FR-MST-010).</w:t>
            </w:r>
          </w:p>
        </w:tc>
      </w:tr>
    </w:tbl>
    <w:p>
      <w:pPr>
        <w:pStyle w:val="Heading2"/>
      </w:pPr>
      <w:r>
        <w:t>6.2 UnitOfMeasure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Code</w:t>
            </w:r>
          </w:p>
        </w:tc>
        <w:tc>
          <w:tcPr>
            <w:tcW w:type="dxa" w:w="5083"/>
            <w:vAlign w:val="top"/>
          </w:tcPr>
          <w:p>
            <w:r>
              <w:t>Required and unique (FR-MST-012).</w:t>
            </w:r>
          </w:p>
        </w:tc>
      </w:tr>
      <w:tr>
        <w:tc>
          <w:tcPr>
            <w:tcW w:type="dxa" w:w="5083"/>
            <w:vAlign w:val="top"/>
          </w:tcPr>
          <w:p>
            <w:r>
              <w:t>Name</w:t>
            </w:r>
          </w:p>
        </w:tc>
        <w:tc>
          <w:tcPr>
            <w:tcW w:type="dxa" w:w="5083"/>
            <w:vAlign w:val="top"/>
          </w:tcPr>
          <w:p>
            <w:r>
              <w:t>Required and unique (FR-MST-012).</w:t>
            </w:r>
          </w:p>
        </w:tc>
      </w:tr>
      <w:tr>
        <w:tc>
          <w:tcPr>
            <w:tcW w:type="dxa" w:w="5083"/>
            <w:vAlign w:val="top"/>
          </w:tcPr>
          <w:p>
            <w:r>
              <w:t>Conversion</w:t>
            </w:r>
          </w:p>
        </w:tc>
        <w:tc>
          <w:tcPr>
            <w:tcW w:type="dxa" w:w="5083"/>
            <w:vAlign w:val="top"/>
          </w:tcPr>
          <w:p>
            <w:r>
              <w:t>No conversion model/logic in MD-01 (FR-MST-014).</w:t>
            </w:r>
          </w:p>
        </w:tc>
      </w:tr>
    </w:tbl>
    <w:p>
      <w:pPr>
        <w:pStyle w:val="Heading2"/>
      </w:pPr>
      <w:r>
        <w:t>6.3 TaxCode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Code/Name</w:t>
            </w:r>
          </w:p>
        </w:tc>
        <w:tc>
          <w:tcPr>
            <w:tcW w:type="dxa" w:w="5083"/>
            <w:vAlign w:val="top"/>
          </w:tcPr>
          <w:p>
            <w:r>
              <w:t>Stable human-readable identification; exact naming is a technical detail if not already established.</w:t>
            </w:r>
          </w:p>
        </w:tc>
      </w:tr>
      <w:tr>
        <w:tc>
          <w:tcPr>
            <w:tcW w:type="dxa" w:w="5083"/>
            <w:vAlign w:val="top"/>
          </w:tcPr>
          <w:p>
            <w:r>
              <w:t>Rate</w:t>
            </w:r>
          </w:p>
        </w:tc>
        <w:tc>
          <w:tcPr>
            <w:tcW w:type="dxa" w:w="5083"/>
            <w:vAlign w:val="top"/>
          </w:tcPr>
          <w:p>
            <w:r>
              <w:t>Required numeric rate.</w:t>
            </w:r>
          </w:p>
        </w:tc>
      </w:tr>
      <w:tr>
        <w:tc>
          <w:tcPr>
            <w:tcW w:type="dxa" w:w="5083"/>
            <w:vAlign w:val="top"/>
          </w:tcPr>
          <w:p>
            <w:r>
              <w:t>TaxType</w:t>
            </w:r>
          </w:p>
        </w:tc>
        <w:tc>
          <w:tcPr>
            <w:tcW w:type="dxa" w:w="5083"/>
            <w:vAlign w:val="top"/>
          </w:tcPr>
          <w:p>
            <w:r>
              <w:t>Required tax type.</w:t>
            </w:r>
          </w:p>
        </w:tc>
      </w:tr>
      <w:tr>
        <w:tc>
          <w:tcPr>
            <w:tcW w:type="dxa" w:w="5083"/>
            <w:vAlign w:val="top"/>
          </w:tcPr>
          <w:p>
            <w:r>
              <w:t>IsActive</w:t>
            </w:r>
          </w:p>
        </w:tc>
        <w:tc>
          <w:tcPr>
            <w:tcW w:type="dxa" w:w="5083"/>
            <w:vAlign w:val="top"/>
          </w:tcPr>
          <w:p>
            <w:r>
              <w:t>Required active status (FR-MST-015).</w:t>
            </w:r>
          </w:p>
        </w:tc>
      </w:tr>
      <w:tr>
        <w:tc>
          <w:tcPr>
            <w:tcW w:type="dxa" w:w="5083"/>
            <w:vAlign w:val="top"/>
          </w:tcPr>
          <w:p>
            <w:r>
              <w:t>UAE VAT</w:t>
            </w:r>
          </w:p>
        </w:tc>
        <w:tc>
          <w:tcPr>
            <w:tcW w:type="dxa" w:w="5083"/>
            <w:vAlign w:val="top"/>
          </w:tcPr>
          <w:p>
            <w:r>
              <w:t>Seed/configure a standard VAT tax code at 5% (FR-MST-016).</w:t>
            </w:r>
          </w:p>
        </w:tc>
      </w:tr>
      <w:tr>
        <w:tc>
          <w:tcPr>
            <w:tcW w:type="dxa" w:w="5083"/>
            <w:vAlign w:val="top"/>
          </w:tcPr>
          <w:p>
            <w:r>
              <w:t>Historical rule</w:t>
            </w:r>
          </w:p>
        </w:tc>
        <w:tc>
          <w:tcPr>
            <w:tcW w:type="dxa" w:w="5083"/>
            <w:vAlign w:val="top"/>
          </w:tcPr>
          <w:p>
            <w:r>
              <w:t>Changing TaxCode later must not imply mutation of historical transactions; actual transaction snapshots are implemented in Billing.</w:t>
            </w:r>
          </w:p>
        </w:tc>
      </w:tr>
    </w:tbl>
    <w:p>
      <w:pPr>
        <w:pStyle w:val="Heading2"/>
      </w:pPr>
      <w:r>
        <w:t>6.4 Product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tcPr>
          <w:p/>
        </w:tc>
        <w:tc>
          <w:tcPr>
            <w:tcW w:type="dxa" w:w="5083"/>
          </w:tcPr>
          <w:p/>
        </w:tc>
      </w:tr>
      <w:tr>
        <w:tc>
          <w:tcPr>
            <w:tcW w:type="dxa" w:w="5083"/>
            <w:vAlign w:val="top"/>
          </w:tcPr>
          <w:p>
            <w:r>
              <w:t>Name</w:t>
            </w:r>
          </w:p>
        </w:tc>
        <w:tc>
          <w:tcPr>
            <w:tcW w:type="dxa" w:w="5083"/>
            <w:vAlign w:val="top"/>
          </w:tcPr>
          <w:p>
            <w:r>
              <w:t>Required, non-empty Product display/name field. Approved MD-01 project-level extension; not a parent FR-MST requirement.</w:t>
            </w:r>
          </w:p>
        </w:tc>
      </w:tr>
      <w:tr>
        <w:tc>
          <w:tcPr>
            <w:tcW w:type="dxa" w:w="5083"/>
            <w:vAlign w:val="top"/>
          </w:tcPr>
          <w:p>
            <w:r>
              <w:t>CategoryId</w:t>
            </w:r>
          </w:p>
        </w:tc>
        <w:tc>
          <w:tcPr>
            <w:tcW w:type="dxa" w:w="5083"/>
            <w:vAlign w:val="top"/>
          </w:tcPr>
          <w:p>
            <w:r>
              <w:t>Required FK to Category (FR-MST-003).</w:t>
            </w:r>
          </w:p>
        </w:tc>
      </w:tr>
      <w:tr>
        <w:tc>
          <w:tcPr>
            <w:tcW w:type="dxa" w:w="5083"/>
            <w:vAlign w:val="top"/>
          </w:tcPr>
          <w:p>
            <w:r>
              <w:t>StockUomId</w:t>
            </w:r>
          </w:p>
        </w:tc>
        <w:tc>
          <w:tcPr>
            <w:tcW w:type="dxa" w:w="5083"/>
            <w:vAlign w:val="top"/>
          </w:tcPr>
          <w:p>
            <w:r>
              <w:t>Required FK to UnitOfMeasure (FR-MST-003).</w:t>
            </w:r>
          </w:p>
        </w:tc>
      </w:tr>
      <w:tr>
        <w:tc>
          <w:tcPr>
            <w:tcW w:type="dxa" w:w="5083"/>
            <w:vAlign w:val="top"/>
          </w:tcPr>
          <w:p>
            <w:r>
              <w:t>TaxCodeId</w:t>
            </w:r>
          </w:p>
        </w:tc>
        <w:tc>
          <w:tcPr>
            <w:tcW w:type="dxa" w:w="5083"/>
            <w:vAlign w:val="top"/>
          </w:tcPr>
          <w:p>
            <w:r>
              <w:t>Required FK to TaxCode (FR-MST-003).</w:t>
            </w:r>
          </w:p>
        </w:tc>
      </w:tr>
      <w:tr>
        <w:tc>
          <w:tcPr>
            <w:tcW w:type="dxa" w:w="5083"/>
            <w:vAlign w:val="top"/>
          </w:tcPr>
          <w:p>
            <w:r>
              <w:t>MinimumStockLevel</w:t>
            </w:r>
          </w:p>
        </w:tc>
        <w:tc>
          <w:tcPr>
            <w:tcW w:type="dxa" w:w="5083"/>
            <w:vAlign w:val="top"/>
          </w:tcPr>
          <w:p>
            <w:r>
              <w:t>Required/configurable quantity value (FR-MST-004).</w:t>
            </w:r>
          </w:p>
        </w:tc>
      </w:tr>
      <w:tr>
        <w:tc>
          <w:tcPr>
            <w:tcW w:type="dxa" w:w="5083"/>
            <w:vAlign w:val="top"/>
          </w:tcPr>
          <w:p>
            <w:r>
              <w:t>ReorderQuantity</w:t>
            </w:r>
          </w:p>
        </w:tc>
        <w:tc>
          <w:tcPr>
            <w:tcW w:type="dxa" w:w="5083"/>
            <w:vAlign w:val="top"/>
          </w:tcPr>
          <w:p>
            <w:r>
              <w:t>Required/configurable quantity value (FR-MST-004).</w:t>
            </w:r>
          </w:p>
        </w:tc>
      </w:tr>
      <w:tr>
        <w:tc>
          <w:tcPr>
            <w:tcW w:type="dxa" w:w="5083"/>
            <w:vAlign w:val="top"/>
          </w:tcPr>
          <w:p>
            <w:r>
              <w:t>SalesPrice</w:t>
            </w:r>
          </w:p>
        </w:tc>
        <w:tc>
          <w:tcPr>
            <w:tcW w:type="dxa" w:w="5083"/>
            <w:vAlign w:val="top"/>
          </w:tcPr>
          <w:p>
            <w:r>
              <w:t>Configurable monetary value (FR-MST-007).</w:t>
            </w:r>
          </w:p>
        </w:tc>
      </w:tr>
      <w:tr>
        <w:tc>
          <w:tcPr>
            <w:tcW w:type="dxa" w:w="5083"/>
            <w:vAlign w:val="top"/>
          </w:tcPr>
          <w:p>
            <w:r>
              <w:t>PurchasePrice</w:t>
            </w:r>
          </w:p>
        </w:tc>
        <w:tc>
          <w:tcPr>
            <w:tcW w:type="dxa" w:w="5083"/>
            <w:vAlign w:val="top"/>
          </w:tcPr>
          <w:p>
            <w:r>
              <w:t>Configurable monetary value (FR-MST-007).</w:t>
            </w:r>
          </w:p>
        </w:tc>
      </w:tr>
      <w:tr>
        <w:tc>
          <w:tcPr>
            <w:tcW w:type="dxa" w:w="5083"/>
            <w:vAlign w:val="top"/>
          </w:tcPr>
          <w:p>
            <w:r>
              <w:t>IsActive</w:t>
            </w:r>
          </w:p>
        </w:tc>
        <w:tc>
          <w:tcPr>
            <w:tcW w:type="dxa" w:w="5083"/>
            <w:vAlign w:val="top"/>
          </w:tcPr>
          <w:p>
            <w:r>
              <w:t>Required to support activation/deactivation (FR-MST-001).</w:t>
            </w:r>
          </w:p>
        </w:tc>
      </w:tr>
      <w:tr>
        <w:tc>
          <w:tcPr>
            <w:tcW w:type="dxa" w:w="5083"/>
            <w:vAlign w:val="top"/>
          </w:tcPr>
          <w:p>
            <w:r>
              <w:t>Deletion</w:t>
            </w:r>
          </w:p>
        </w:tc>
        <w:tc>
          <w:tcPr>
            <w:tcW w:type="dxa" w:w="5083"/>
            <w:vAlign w:val="top"/>
          </w:tcPr>
          <w:p>
            <w:r>
              <w:t>A Product used by a posted transaction must not be hard-deleted (FR-MST-005). No posted transaction exists in MD-01, so preserve the lifecycle rule/design for later enforcement.</w:t>
            </w:r>
          </w:p>
        </w:tc>
      </w:tr>
      <w:tr>
        <w:tc>
          <w:tcPr>
            <w:tcW w:type="dxa" w:w="5083"/>
            <w:vAlign w:val="top"/>
          </w:tcPr>
          <w:p>
            <w:r>
              <w:t>Selection rule</w:t>
            </w:r>
          </w:p>
        </w:tc>
        <w:tc>
          <w:tcPr>
            <w:tcW w:type="dxa" w:w="5083"/>
            <w:vAlign w:val="top"/>
          </w:tcPr>
          <w:p>
            <w:r>
              <w:t>Inactive products must be excluded/rejected by future new transactions (FR-MST-006). MD-01 must expose active state/query capability; transactional enforcement comes later.</w:t>
            </w:r>
          </w:p>
        </w:tc>
      </w:tr>
    </w:tbl>
    <w:p>
      <w:pPr>
        <w:pStyle w:val="Heading2"/>
      </w:pPr>
      <w:r>
        <w:t>6.5 Customer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CustomerCode</w:t>
            </w:r>
          </w:p>
        </w:tc>
        <w:tc>
          <w:tcPr>
            <w:tcW w:type="dxa" w:w="5083"/>
            <w:vAlign w:val="top"/>
          </w:tcPr>
          <w:p>
            <w:r>
              <w:t>Required; unique within company scope (FR-MST-020).</w:t>
            </w:r>
          </w:p>
        </w:tc>
      </w:tr>
      <w:tr>
        <w:tc>
          <w:tcPr>
            <w:tcW w:type="dxa" w:w="5083"/>
            <w:vAlign w:val="top"/>
          </w:tcPr>
          <w:p>
            <w:r>
              <w:t>Name</w:t>
            </w:r>
          </w:p>
        </w:tc>
        <w:tc>
          <w:tcPr>
            <w:tcW w:type="dxa" w:w="5083"/>
            <w:vAlign w:val="top"/>
          </w:tcPr>
          <w:p>
            <w:r>
              <w:t>Required master-data identity.</w:t>
            </w:r>
          </w:p>
        </w:tc>
      </w:tr>
      <w:tr>
        <w:tc>
          <w:tcPr>
            <w:tcW w:type="dxa" w:w="5083"/>
            <w:vAlign w:val="top"/>
          </w:tcPr>
          <w:p>
            <w:r>
              <w:t>BillingAddress</w:t>
            </w:r>
          </w:p>
        </w:tc>
        <w:tc>
          <w:tcPr>
            <w:tcW w:type="dxa" w:w="5083"/>
            <w:vAlign w:val="top"/>
          </w:tcPr>
          <w:p>
            <w:r>
              <w:t>Supported (FR-MST-021).</w:t>
            </w:r>
          </w:p>
        </w:tc>
      </w:tr>
      <w:tr>
        <w:tc>
          <w:tcPr>
            <w:tcW w:type="dxa" w:w="5083"/>
            <w:vAlign w:val="top"/>
          </w:tcPr>
          <w:p>
            <w:r>
              <w:t>ShippingAddress</w:t>
            </w:r>
          </w:p>
        </w:tc>
        <w:tc>
          <w:tcPr>
            <w:tcW w:type="dxa" w:w="5083"/>
            <w:vAlign w:val="top"/>
          </w:tcPr>
          <w:p>
            <w:r>
              <w:t>Supported (FR-MST-021).</w:t>
            </w:r>
          </w:p>
        </w:tc>
      </w:tr>
      <w:tr>
        <w:tc>
          <w:tcPr>
            <w:tcW w:type="dxa" w:w="5083"/>
            <w:vAlign w:val="top"/>
          </w:tcPr>
          <w:p>
            <w:r>
              <w:t>Phone</w:t>
            </w:r>
          </w:p>
        </w:tc>
        <w:tc>
          <w:tcPr>
            <w:tcW w:type="dxa" w:w="5083"/>
            <w:vAlign w:val="top"/>
          </w:tcPr>
          <w:p>
            <w:r>
              <w:t>Supported (FR-MST-021).</w:t>
            </w:r>
          </w:p>
        </w:tc>
      </w:tr>
      <w:tr>
        <w:tc>
          <w:tcPr>
            <w:tcW w:type="dxa" w:w="5083"/>
            <w:vAlign w:val="top"/>
          </w:tcPr>
          <w:p>
            <w:r>
              <w:t>Email</w:t>
            </w:r>
          </w:p>
        </w:tc>
        <w:tc>
          <w:tcPr>
            <w:tcW w:type="dxa" w:w="5083"/>
            <w:vAlign w:val="top"/>
          </w:tcPr>
          <w:p>
            <w:r>
              <w:t>Supported (FR-MST-021).</w:t>
            </w:r>
          </w:p>
        </w:tc>
      </w:tr>
      <w:tr>
        <w:tc>
          <w:tcPr>
            <w:tcW w:type="dxa" w:w="5083"/>
            <w:vAlign w:val="top"/>
          </w:tcPr>
          <w:p>
            <w:r>
              <w:t>TRN</w:t>
            </w:r>
          </w:p>
        </w:tc>
        <w:tc>
          <w:tcPr>
            <w:tcW w:type="dxa" w:w="5083"/>
            <w:vAlign w:val="top"/>
          </w:tcPr>
          <w:p>
            <w:r>
              <w:t>Supported (FR-MST-021).</w:t>
            </w:r>
          </w:p>
        </w:tc>
      </w:tr>
      <w:tr>
        <w:tc>
          <w:tcPr>
            <w:tcW w:type="dxa" w:w="5083"/>
            <w:vAlign w:val="top"/>
          </w:tcPr>
          <w:p>
            <w:r>
              <w:t>CreditLimit</w:t>
            </w:r>
          </w:p>
        </w:tc>
        <w:tc>
          <w:tcPr>
            <w:tcW w:type="dxa" w:w="5083"/>
            <w:vAlign w:val="top"/>
          </w:tcPr>
          <w:p>
            <w:r>
              <w:t>Configurable; enforcement deferred to order/posting phase (FR-MST-024).</w:t>
            </w:r>
          </w:p>
        </w:tc>
      </w:tr>
      <w:tr>
        <w:tc>
          <w:tcPr>
            <w:tcW w:type="dxa" w:w="5083"/>
            <w:vAlign w:val="top"/>
          </w:tcPr>
          <w:p>
            <w:r>
              <w:t>Lifecycle</w:t>
            </w:r>
          </w:p>
        </w:tc>
        <w:tc>
          <w:tcPr>
            <w:tcW w:type="dxa" w:w="5083"/>
            <w:vAlign w:val="top"/>
          </w:tcPr>
          <w:p>
            <w:r>
              <w:t>Referenced posted documents must eventually block hard deletion (FR-MST-023).</w:t>
            </w:r>
          </w:p>
        </w:tc>
      </w:tr>
    </w:tbl>
    <w:p>
      <w:pPr>
        <w:pStyle w:val="Heading2"/>
      </w:pPr>
      <w:r>
        <w:t>6.6 Supplier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SupplierCode</w:t>
            </w:r>
          </w:p>
        </w:tc>
        <w:tc>
          <w:tcPr>
            <w:tcW w:type="dxa" w:w="5083"/>
            <w:vAlign w:val="top"/>
          </w:tcPr>
          <w:p>
            <w:r>
              <w:t>Required; unique within company scope (FR-MST-020).</w:t>
            </w:r>
          </w:p>
        </w:tc>
      </w:tr>
      <w:tr>
        <w:tc>
          <w:tcPr>
            <w:tcW w:type="dxa" w:w="5083"/>
            <w:vAlign w:val="top"/>
          </w:tcPr>
          <w:p>
            <w:r>
              <w:t>Name</w:t>
            </w:r>
          </w:p>
        </w:tc>
        <w:tc>
          <w:tcPr>
            <w:tcW w:type="dxa" w:w="5083"/>
            <w:vAlign w:val="top"/>
          </w:tcPr>
          <w:p>
            <w:r>
              <w:t>Required master-data identity.</w:t>
            </w:r>
          </w:p>
        </w:tc>
      </w:tr>
      <w:tr>
        <w:tc>
          <w:tcPr>
            <w:tcW w:type="dxa" w:w="5083"/>
            <w:vAlign w:val="top"/>
          </w:tcPr>
          <w:p>
            <w:r>
              <w:t>Address</w:t>
            </w:r>
          </w:p>
        </w:tc>
        <w:tc>
          <w:tcPr>
            <w:tcW w:type="dxa" w:w="5083"/>
            <w:vAlign w:val="top"/>
          </w:tcPr>
          <w:p>
            <w:r>
              <w:t>Supported (FR-MST-022).</w:t>
            </w:r>
          </w:p>
        </w:tc>
      </w:tr>
      <w:tr>
        <w:tc>
          <w:tcPr>
            <w:tcW w:type="dxa" w:w="5083"/>
            <w:vAlign w:val="top"/>
          </w:tcPr>
          <w:p>
            <w:r>
              <w:t>Contact information</w:t>
            </w:r>
          </w:p>
        </w:tc>
        <w:tc>
          <w:tcPr>
            <w:tcW w:type="dxa" w:w="5083"/>
            <w:vAlign w:val="top"/>
          </w:tcPr>
          <w:p>
            <w:r>
              <w:t>Supported (FR-MST-022).</w:t>
            </w:r>
          </w:p>
        </w:tc>
      </w:tr>
      <w:tr>
        <w:tc>
          <w:tcPr>
            <w:tcW w:type="dxa" w:w="5083"/>
            <w:vAlign w:val="top"/>
          </w:tcPr>
          <w:p>
            <w:r>
              <w:t>PaymentTerms</w:t>
            </w:r>
          </w:p>
        </w:tc>
        <w:tc>
          <w:tcPr>
            <w:tcW w:type="dxa" w:w="5083"/>
            <w:vAlign w:val="top"/>
          </w:tcPr>
          <w:p>
            <w:r>
              <w:t>Supported (FR-MST-022).</w:t>
            </w:r>
          </w:p>
        </w:tc>
      </w:tr>
      <w:tr>
        <w:tc>
          <w:tcPr>
            <w:tcW w:type="dxa" w:w="5083"/>
            <w:vAlign w:val="top"/>
          </w:tcPr>
          <w:p>
            <w:r>
              <w:t>TRN</w:t>
            </w:r>
          </w:p>
        </w:tc>
        <w:tc>
          <w:tcPr>
            <w:tcW w:type="dxa" w:w="5083"/>
            <w:vAlign w:val="top"/>
          </w:tcPr>
          <w:p>
            <w:r>
              <w:t>Supported (FR-MST-022).</w:t>
            </w:r>
          </w:p>
        </w:tc>
      </w:tr>
      <w:tr>
        <w:tc>
          <w:tcPr>
            <w:tcW w:type="dxa" w:w="5083"/>
            <w:vAlign w:val="top"/>
          </w:tcPr>
          <w:p>
            <w:r>
              <w:t>Lifecycle</w:t>
            </w:r>
          </w:p>
        </w:tc>
        <w:tc>
          <w:tcPr>
            <w:tcW w:type="dxa" w:w="5083"/>
            <w:vAlign w:val="top"/>
          </w:tcPr>
          <w:p>
            <w:r>
              <w:t>Referenced posted documents must eventually block hard deletion (FR-MST-023).</w:t>
            </w:r>
          </w:p>
        </w:tc>
      </w:tr>
    </w:tbl>
    <w:p>
      <w:pPr>
        <w:pStyle w:val="Heading2"/>
      </w:pPr>
      <w:r>
        <w:t>6.7 Warehouse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Field/behavior</w:t>
            </w:r>
          </w:p>
        </w:tc>
        <w:tc>
          <w:tcPr>
            <w:tcW w:type="dxa" w:w="5083"/>
            <w:vAlign w:val="center"/>
          </w:tcPr>
          <w:p>
            <w:r>
              <w:rPr>
                <w:b/>
              </w:rPr>
              <w:t>Requirement</w:t>
            </w:r>
          </w:p>
        </w:tc>
      </w:tr>
      <w:tr>
        <w:tc>
          <w:tcPr>
            <w:tcW w:type="dxa" w:w="5083"/>
            <w:vAlign w:val="top"/>
          </w:tcPr>
          <w:p>
            <w:r>
              <w:t>Id</w:t>
            </w:r>
          </w:p>
        </w:tc>
        <w:tc>
          <w:tcPr>
            <w:tcW w:type="dxa" w:w="5083"/>
            <w:vAlign w:val="top"/>
          </w:tcPr>
          <w:p>
            <w:r>
              <w:t>Stable primary identifier.</w:t>
            </w:r>
          </w:p>
        </w:tc>
      </w:tr>
      <w:tr>
        <w:tc>
          <w:tcPr>
            <w:tcW w:type="dxa" w:w="5083"/>
            <w:vAlign w:val="top"/>
          </w:tcPr>
          <w:p>
            <w:r>
              <w:t>WarehouseCode</w:t>
            </w:r>
          </w:p>
        </w:tc>
        <w:tc>
          <w:tcPr>
            <w:tcW w:type="dxa" w:w="5083"/>
            <w:vAlign w:val="top"/>
          </w:tcPr>
          <w:p>
            <w:r>
              <w:t>Required; unique within company scope (FR-MST-026).</w:t>
            </w:r>
          </w:p>
        </w:tc>
      </w:tr>
      <w:tr>
        <w:tc>
          <w:tcPr>
            <w:tcW w:type="dxa" w:w="5083"/>
            <w:vAlign w:val="top"/>
          </w:tcPr>
          <w:p>
            <w:r>
              <w:t>Name</w:t>
            </w:r>
          </w:p>
        </w:tc>
        <w:tc>
          <w:tcPr>
            <w:tcW w:type="dxa" w:w="5083"/>
            <w:vAlign w:val="top"/>
          </w:tcPr>
          <w:p>
            <w:r>
              <w:t>Required.</w:t>
            </w:r>
          </w:p>
        </w:tc>
      </w:tr>
      <w:tr>
        <w:tc>
          <w:tcPr>
            <w:tcW w:type="dxa" w:w="5083"/>
            <w:vAlign w:val="top"/>
          </w:tcPr>
          <w:p>
            <w:r>
              <w:t>IsActive</w:t>
            </w:r>
          </w:p>
        </w:tc>
        <w:tc>
          <w:tcPr>
            <w:tcW w:type="dxa" w:w="5083"/>
            <w:vAlign w:val="top"/>
          </w:tcPr>
          <w:p>
            <w:r>
              <w:t>Required for activate/deactivate behavior (FR-MST-025).</w:t>
            </w:r>
          </w:p>
        </w:tc>
      </w:tr>
      <w:tr>
        <w:tc>
          <w:tcPr>
            <w:tcW w:type="dxa" w:w="5083"/>
            <w:vAlign w:val="top"/>
          </w:tcPr>
          <w:p>
            <w:r>
              <w:t>Selection rule</w:t>
            </w:r>
          </w:p>
        </w:tc>
        <w:tc>
          <w:tcPr>
            <w:tcW w:type="dxa" w:w="5083"/>
            <w:vAlign w:val="top"/>
          </w:tcPr>
          <w:p>
            <w:r>
              <w:t>Inactive warehouses must not be selectable for future stock transactions (FR-MST-028). MD-01 exposes active state; transaction enforcement is later.</w:t>
            </w:r>
          </w:p>
        </w:tc>
      </w:tr>
      <w:tr>
        <w:tc>
          <w:tcPr>
            <w:tcW w:type="dxa" w:w="5083"/>
            <w:vAlign w:val="top"/>
          </w:tcPr>
          <w:p>
            <w:r>
              <w:t>Stock reference rule</w:t>
            </w:r>
          </w:p>
        </w:tc>
        <w:tc>
          <w:tcPr>
            <w:tcW w:type="dxa" w:w="5083"/>
            <w:vAlign w:val="top"/>
          </w:tcPr>
          <w:p>
            <w:r>
              <w:t>Future stock transactions must identify source/destination warehouse(s) (FR-MST-027); no stock transaction is implemented now.</w:t>
            </w:r>
          </w:p>
        </w:tc>
      </w:tr>
    </w:tbl>
    <w:p>
      <w:pPr>
        <w:pStyle w:val="Heading1"/>
      </w:pPr>
      <w:r>
        <w:t>7. Data Integrity and SQL Server Requirements</w:t>
      </w:r>
    </w:p>
    <w:p>
      <w:pPr>
        <w:pStyle w:val="ListBullet"/>
      </w:pPr>
      <w:r>
        <w:t>Use EF Core migrations for MD-01 schema creation.</w:t>
      </w:r>
    </w:p>
    <w:p>
      <w:pPr>
        <w:pStyle w:val="ListBullet"/>
      </w:pPr>
      <w:r>
        <w:t>Use SQL Server unique indexes/constraints where the SRS requires uniqueness; application validation may improve error messages but must not be the only protection against races.</w:t>
      </w:r>
    </w:p>
    <w:p>
      <w:pPr>
        <w:pStyle w:val="ListBullet"/>
      </w:pPr>
      <w:r>
        <w:t>Required foreign keys: Product -&gt; Category, Product -&gt; UnitOfMeasure, Product -&gt; TaxCode.</w:t>
      </w:r>
    </w:p>
    <w:p>
      <w:pPr>
        <w:pStyle w:val="ListBullet"/>
      </w:pPr>
      <w:r>
        <w:t>Configure delete behavior so referenced Category/UoM/TaxCode relationships cannot be accidentally cascade-deleted through Product.</w:t>
      </w:r>
    </w:p>
    <w:p>
      <w:pPr>
        <w:pStyle w:val="ListBullet"/>
      </w:pPr>
      <w:r>
        <w:t>Use decimal types/precision appropriate for quantities, tax rates and prices; do not use floating-point types for money.</w:t>
      </w:r>
    </w:p>
    <w:p>
      <w:pPr>
        <w:pStyle w:val="ListBullet"/>
      </w:pPr>
      <w:r>
        <w:t>Do not create stock tables in this migration.</w:t>
      </w:r>
    </w:p>
    <w:p>
      <w:pPr>
        <w:pStyle w:val="ListBullet"/>
      </w:pPr>
      <w:r>
        <w:t>Do not use EF Core InMemory as proof of SQL Server-specific relational constraints in integration tests.</w:t>
      </w:r>
    </w:p>
    <w:p>
      <w:pPr>
        <w:pStyle w:val="ListBullet"/>
      </w:pPr>
      <w:r>
        <w:t>Where 'within company' uniqueness cannot be implemented faithfully because the parent SRS has not defined a Company entity in this phase, do not fabricate a Company module. Document the unresolved scope and keep the design migration-friendly for a later company scope.</w:t>
      </w:r>
    </w:p>
    <w:p>
      <w:pPr>
        <w:pStyle w:val="Heading1"/>
      </w:pPr>
      <w:r>
        <w:t>8. Commands, Queries and Endpoint Behavior</w:t>
      </w:r>
    </w:p>
    <w:p>
      <w:r>
        <w:rPr>
          <w:sz w:val="19"/>
        </w:rPr>
        <w:t>Each master must use vertical slices. Use commands for state changes and queries for reads. Each slice owns its EndPoint in Application. Routes should be consistent under an API master-data boundary such as `/api/master-data/...`; exact route casing/pluralization may follow existing repository conventions.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Master</w:t>
            </w:r>
          </w:p>
        </w:tc>
        <w:tc>
          <w:tcPr>
            <w:tcW w:type="dxa" w:w="5083"/>
            <w:vAlign w:val="center"/>
          </w:tcPr>
          <w:p>
            <w:r>
              <w:rPr>
                <w:b/>
              </w:rPr>
              <w:t>Required operations</w:t>
            </w:r>
          </w:p>
        </w:tc>
      </w:tr>
      <w:tr>
        <w:tc>
          <w:tcPr>
            <w:tcW w:type="dxa" w:w="5083"/>
            <w:vAlign w:val="top"/>
          </w:tcPr>
          <w:p>
            <w:r>
              <w:t>Category</w:t>
            </w:r>
          </w:p>
        </w:tc>
        <w:tc>
          <w:tcPr>
            <w:tcW w:type="dxa" w:w="5083"/>
            <w:vAlign w:val="top"/>
          </w:tcPr>
          <w:p>
            <w:r>
              <w:t>Create, update, get by id, list, delete only when unreferenced; activation/deactivation if lifecycle is implemented consistently.</w:t>
            </w:r>
          </w:p>
        </w:tc>
      </w:tr>
      <w:tr>
        <w:tc>
          <w:tcPr>
            <w:tcW w:type="dxa" w:w="5083"/>
            <w:vAlign w:val="top"/>
          </w:tcPr>
          <w:p>
            <w:r>
              <w:t>UoM</w:t>
            </w:r>
          </w:p>
        </w:tc>
        <w:tc>
          <w:tcPr>
            <w:tcW w:type="dxa" w:w="5083"/>
            <w:vAlign w:val="top"/>
          </w:tcPr>
          <w:p>
            <w:r>
              <w:t>Create, update, get by id, list; deletion must respect references.</w:t>
            </w:r>
          </w:p>
        </w:tc>
      </w:tr>
      <w:tr>
        <w:tc>
          <w:tcPr>
            <w:tcW w:type="dxa" w:w="5083"/>
            <w:vAlign w:val="top"/>
          </w:tcPr>
          <w:p>
            <w:r>
              <w:t>TaxCode</w:t>
            </w:r>
          </w:p>
        </w:tc>
        <w:tc>
          <w:tcPr>
            <w:tcW w:type="dxa" w:w="5083"/>
            <w:vAlign w:val="top"/>
          </w:tcPr>
          <w:p>
            <w:r>
              <w:t>Create, update, activate, deactivate, get by id, list.</w:t>
            </w:r>
          </w:p>
        </w:tc>
      </w:tr>
      <w:tr>
        <w:tc>
          <w:tcPr>
            <w:tcW w:type="dxa" w:w="5083"/>
            <w:vAlign w:val="top"/>
          </w:tcPr>
          <w:p>
            <w:r>
              <w:t>Product</w:t>
            </w:r>
          </w:p>
        </w:tc>
        <w:tc>
          <w:tcPr>
            <w:tcW w:type="dxa" w:w="5083"/>
            <w:vAlign w:val="top"/>
          </w:tcPr>
          <w:p>
            <w:r>
              <w:t>Create, update, activate, deactivate, get by id, list.</w:t>
            </w:r>
          </w:p>
        </w:tc>
      </w:tr>
      <w:tr>
        <w:tc>
          <w:tcPr>
            <w:tcW w:type="dxa" w:w="5083"/>
            <w:vAlign w:val="top"/>
          </w:tcPr>
          <w:p>
            <w:r>
              <w:t>Customer</w:t>
            </w:r>
          </w:p>
        </w:tc>
        <w:tc>
          <w:tcPr>
            <w:tcW w:type="dxa" w:w="5083"/>
            <w:vAlign w:val="top"/>
          </w:tcPr>
          <w:p>
            <w:r>
              <w:t>Create, update, get by id, list; lifecycle handling compatible with future posted-document restriction.</w:t>
            </w:r>
          </w:p>
        </w:tc>
      </w:tr>
      <w:tr>
        <w:tc>
          <w:tcPr>
            <w:tcW w:type="dxa" w:w="5083"/>
            <w:vAlign w:val="top"/>
          </w:tcPr>
          <w:p>
            <w:r>
              <w:t>Supplier</w:t>
            </w:r>
          </w:p>
        </w:tc>
        <w:tc>
          <w:tcPr>
            <w:tcW w:type="dxa" w:w="5083"/>
            <w:vAlign w:val="top"/>
          </w:tcPr>
          <w:p>
            <w:r>
              <w:t>Create, update, get by id, list; lifecycle handling compatible with future posted-document restriction.</w:t>
            </w:r>
          </w:p>
        </w:tc>
      </w:tr>
      <w:tr>
        <w:tc>
          <w:tcPr>
            <w:tcW w:type="dxa" w:w="5083"/>
            <w:vAlign w:val="top"/>
          </w:tcPr>
          <w:p>
            <w:r>
              <w:t>Warehouse</w:t>
            </w:r>
          </w:p>
        </w:tc>
        <w:tc>
          <w:tcPr>
            <w:tcW w:type="dxa" w:w="5083"/>
            <w:vAlign w:val="top"/>
          </w:tcPr>
          <w:p>
            <w:r>
              <w:t>Create, update, activate, deactivate, get by id, list.</w:t>
            </w:r>
          </w:p>
        </w:tc>
      </w:tr>
    </w:tbl>
    <w:p>
      <w:r>
        <w:rPr>
          <w:sz w:val="19"/>
        </w:rPr>
        <w:t>Do not add post/cancel/reverse endpoints: those are transactional-document concepts, not Master Data operations.</w:t>
      </w:r>
    </w:p>
    <w:p>
      <w:pPr>
        <w:pStyle w:val="Heading1"/>
      </w:pPr>
      <w:r>
        <w:t>8A. Request and Response DTO Contracts</w:t>
      </w:r>
    </w:p>
    <w:p>
      <w:r>
        <w:t>Every use case must define its input and output contract explicitly inside the same Application vertical slice. Commands are the application input contracts for state-changing operations; queries are the application input contracts for read operations; response DTOs are the explicit output contracts. EndPoints bind HTTP body/route/query values directly into the relevant command/query and return the handler result as the defined response DTO. Do not create separate XRequest DTOs when the corresponding XCommand or XQuery already represents that input contract. Do not bind Domain entities directly to HTTP requests or return Domain entities directly from EndPoints.</w:t>
      </w:r>
    </w:p>
    <w:p>
      <w:pPr>
        <w:pStyle w:val="Heading2"/>
      </w:pPr>
      <w:r>
        <w:t>Naming convention</w:t>
      </w:r>
    </w:p>
    <w:p>
      <w:r>
        <w:t>For a use case named CreateCategory, use CreateCategoryCommand.cs as the input contract and CreateCategoryResponse.cs as the output contract. For a read use case, use the corresponding XQuery.cs as its input contract and XResponse.cs as its output contract. Route-only identifiers are carried by the command/query as appropriate and do not require an artificial request DTO. Delete/activate/deactivate operations may return the updated response DTO or HTTP 204 according to the explicit contract below.</w:t>
      </w:r>
    </w:p>
    <w:p>
      <w:pPr>
        <w:pStyle w:val="Heading2"/>
      </w:pPr>
      <w:r>
        <w:t>8A.1 Category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CreateCategory</w:t>
            </w:r>
          </w:p>
        </w:tc>
        <w:tc>
          <w:tcPr>
            <w:tcW w:type="dxa" w:w="3389"/>
          </w:tcPr>
          <w:p>
            <w:r>
              <w:t>CreateCategoryCommand { string Name }</w:t>
            </w:r>
          </w:p>
        </w:tc>
        <w:tc>
          <w:tcPr>
            <w:tcW w:type="dxa" w:w="3389"/>
          </w:tcPr>
          <w:p>
            <w:r>
              <w:t>CreateCategoryResponse { Guid Id, string Name, bool IsActive }</w:t>
            </w:r>
          </w:p>
        </w:tc>
      </w:tr>
      <w:tr>
        <w:tc>
          <w:tcPr>
            <w:tcW w:type="dxa" w:w="3389"/>
          </w:tcPr>
          <w:p>
            <w:r>
              <w:t>UpdateCategory</w:t>
            </w:r>
          </w:p>
        </w:tc>
        <w:tc>
          <w:tcPr>
            <w:tcW w:type="dxa" w:w="3389"/>
          </w:tcPr>
          <w:p>
            <w:r>
              <w:t>UpdateCategoryCommand { string Name } + route Guid id</w:t>
            </w:r>
          </w:p>
        </w:tc>
        <w:tc>
          <w:tcPr>
            <w:tcW w:type="dxa" w:w="3389"/>
          </w:tcPr>
          <w:p>
            <w:r>
              <w:t>UpdateCategoryResponse { Guid Id, string Name, bool IsActive }</w:t>
            </w:r>
          </w:p>
        </w:tc>
      </w:tr>
      <w:tr>
        <w:tc>
          <w:tcPr>
            <w:tcW w:type="dxa" w:w="3389"/>
          </w:tcPr>
          <w:p>
            <w:r>
              <w:t>GetCategoryById</w:t>
            </w:r>
          </w:p>
        </w:tc>
        <w:tc>
          <w:tcPr>
            <w:tcW w:type="dxa" w:w="3389"/>
          </w:tcPr>
          <w:p>
            <w:r>
              <w:t>No body; route Guid id</w:t>
            </w:r>
          </w:p>
        </w:tc>
        <w:tc>
          <w:tcPr>
            <w:tcW w:type="dxa" w:w="3389"/>
          </w:tcPr>
          <w:p>
            <w:r>
              <w:t>GetCategoryByIdResponse { Guid Id, string Name, bool IsActive }</w:t>
            </w:r>
          </w:p>
        </w:tc>
      </w:tr>
      <w:tr>
        <w:tc>
          <w:tcPr>
            <w:tcW w:type="dxa" w:w="3389"/>
          </w:tcPr>
          <w:p>
            <w:r>
              <w:t>GetCategories</w:t>
            </w:r>
          </w:p>
        </w:tc>
        <w:tc>
          <w:tcPr>
            <w:tcW w:type="dxa" w:w="3389"/>
          </w:tcPr>
          <w:p>
            <w:r>
              <w:t>No body; query filters may include active-state only if implemented without inventing new business rules</w:t>
            </w:r>
          </w:p>
        </w:tc>
        <w:tc>
          <w:tcPr>
            <w:tcW w:type="dxa" w:w="3389"/>
          </w:tcPr>
          <w:p>
            <w:r>
              <w:t>IReadOnlyList&lt;GetCategoriesResponse&gt; where item = { Guid Id, string Name, bool IsActive }</w:t>
            </w:r>
          </w:p>
        </w:tc>
      </w:tr>
      <w:tr>
        <w:tc>
          <w:tcPr>
            <w:tcW w:type="dxa" w:w="3389"/>
          </w:tcPr>
          <w:p>
            <w:r>
              <w:t>ActivateCategory</w:t>
            </w:r>
          </w:p>
        </w:tc>
        <w:tc>
          <w:tcPr>
            <w:tcW w:type="dxa" w:w="3389"/>
          </w:tcPr>
          <w:p>
            <w:r>
              <w:t>No body; route Guid id</w:t>
            </w:r>
          </w:p>
        </w:tc>
        <w:tc>
          <w:tcPr>
            <w:tcW w:type="dxa" w:w="3389"/>
          </w:tcPr>
          <w:p>
            <w:r>
              <w:t>ActivateCategoryResponse { Guid Id, string Name, bool IsActive }</w:t>
            </w:r>
          </w:p>
        </w:tc>
      </w:tr>
      <w:tr>
        <w:tc>
          <w:tcPr>
            <w:tcW w:type="dxa" w:w="3389"/>
          </w:tcPr>
          <w:p>
            <w:r>
              <w:t>DeactivateCategory</w:t>
            </w:r>
          </w:p>
        </w:tc>
        <w:tc>
          <w:tcPr>
            <w:tcW w:type="dxa" w:w="3389"/>
          </w:tcPr>
          <w:p>
            <w:r>
              <w:t>No body; route Guid id</w:t>
            </w:r>
          </w:p>
        </w:tc>
        <w:tc>
          <w:tcPr>
            <w:tcW w:type="dxa" w:w="3389"/>
          </w:tcPr>
          <w:p>
            <w:r>
              <w:t>DeactivateCategoryResponse { Guid Id, string Name, bool IsActive }</w:t>
            </w:r>
          </w:p>
        </w:tc>
      </w:tr>
      <w:tr>
        <w:tc>
          <w:tcPr>
            <w:tcW w:type="dxa" w:w="3389"/>
          </w:tcPr>
          <w:p>
            <w:r>
              <w:t>DeleteCategory</w:t>
            </w:r>
          </w:p>
        </w:tc>
        <w:tc>
          <w:tcPr>
            <w:tcW w:type="dxa" w:w="3389"/>
          </w:tcPr>
          <w:p>
            <w:r>
              <w:t>No body; route Guid id</w:t>
            </w:r>
          </w:p>
        </w:tc>
        <w:tc>
          <w:tcPr>
            <w:tcW w:type="dxa" w:w="3389"/>
          </w:tcPr>
          <w:p>
            <w:r>
              <w:t>204 No Content on success; controlled conflict when referenced by Product.</w:t>
            </w:r>
          </w:p>
        </w:tc>
      </w:tr>
    </w:tbl>
    <w:p>
      <w:pPr>
        <w:pStyle w:val="Heading2"/>
      </w:pPr>
      <w:r>
        <w:t>8A.2 Unit of Measure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CreateUnitOfMeasure</w:t>
            </w:r>
          </w:p>
        </w:tc>
        <w:tc>
          <w:tcPr>
            <w:tcW w:type="dxa" w:w="3389"/>
          </w:tcPr>
          <w:p>
            <w:r>
              <w:t>CreateUnitOfMeasureCommand { string Code, string Name }</w:t>
            </w:r>
          </w:p>
        </w:tc>
        <w:tc>
          <w:tcPr>
            <w:tcW w:type="dxa" w:w="3389"/>
          </w:tcPr>
          <w:p>
            <w:r>
              <w:t>CreateUnitOfMeasureResponse { Guid Id, string Code, string Name }</w:t>
            </w:r>
          </w:p>
        </w:tc>
      </w:tr>
      <w:tr>
        <w:tc>
          <w:tcPr>
            <w:tcW w:type="dxa" w:w="3389"/>
          </w:tcPr>
          <w:p>
            <w:r>
              <w:t>UpdateUnitOfMeasure</w:t>
            </w:r>
          </w:p>
        </w:tc>
        <w:tc>
          <w:tcPr>
            <w:tcW w:type="dxa" w:w="3389"/>
          </w:tcPr>
          <w:p>
            <w:r>
              <w:t>UpdateUnitOfMeasureCommand { string Code, string Name } + route Guid id</w:t>
            </w:r>
          </w:p>
        </w:tc>
        <w:tc>
          <w:tcPr>
            <w:tcW w:type="dxa" w:w="3389"/>
          </w:tcPr>
          <w:p>
            <w:r>
              <w:t>UpdateUnitOfMeasureResponse { Guid Id, string Code, string Name }</w:t>
            </w:r>
          </w:p>
        </w:tc>
      </w:tr>
      <w:tr>
        <w:tc>
          <w:tcPr>
            <w:tcW w:type="dxa" w:w="3389"/>
          </w:tcPr>
          <w:p>
            <w:r>
              <w:t>GetUnitOfMeasureById</w:t>
            </w:r>
          </w:p>
        </w:tc>
        <w:tc>
          <w:tcPr>
            <w:tcW w:type="dxa" w:w="3389"/>
          </w:tcPr>
          <w:p>
            <w:r>
              <w:t>No body; route Guid id</w:t>
            </w:r>
          </w:p>
        </w:tc>
        <w:tc>
          <w:tcPr>
            <w:tcW w:type="dxa" w:w="3389"/>
          </w:tcPr>
          <w:p>
            <w:r>
              <w:t>GetUnitOfMeasureByIdResponse { Guid Id, string Code, string Name }</w:t>
            </w:r>
          </w:p>
        </w:tc>
      </w:tr>
      <w:tr>
        <w:tc>
          <w:tcPr>
            <w:tcW w:type="dxa" w:w="3389"/>
          </w:tcPr>
          <w:p>
            <w:r>
              <w:t>GetUnitsOfMeasure</w:t>
            </w:r>
          </w:p>
        </w:tc>
        <w:tc>
          <w:tcPr>
            <w:tcW w:type="dxa" w:w="3389"/>
          </w:tcPr>
          <w:p>
            <w:r>
              <w:t>No body</w:t>
            </w:r>
          </w:p>
        </w:tc>
        <w:tc>
          <w:tcPr>
            <w:tcW w:type="dxa" w:w="3389"/>
          </w:tcPr>
          <w:p>
            <w:r>
              <w:t>IReadOnlyList&lt;GetUnitsOfMeasureResponse&gt; where item = { Guid Id, string Code, string Name }</w:t>
            </w:r>
          </w:p>
        </w:tc>
      </w:tr>
      <w:tr>
        <w:tc>
          <w:tcPr>
            <w:tcW w:type="dxa" w:w="3389"/>
          </w:tcPr>
          <w:p>
            <w:r>
              <w:t>DeleteUnitOfMeasure</w:t>
            </w:r>
          </w:p>
        </w:tc>
        <w:tc>
          <w:tcPr>
            <w:tcW w:type="dxa" w:w="3389"/>
          </w:tcPr>
          <w:p>
            <w:r>
              <w:t>No body; route Guid id</w:t>
            </w:r>
          </w:p>
        </w:tc>
        <w:tc>
          <w:tcPr>
            <w:tcW w:type="dxa" w:w="3389"/>
          </w:tcPr>
          <w:p>
            <w:r>
              <w:t>204 No Content when deletion is valid; controlled conflict when referenced.</w:t>
            </w:r>
          </w:p>
        </w:tc>
      </w:tr>
    </w:tbl>
    <w:p>
      <w:pPr>
        <w:pStyle w:val="Heading2"/>
      </w:pPr>
      <w:r>
        <w:t>8A.3 Tax Code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CreateTaxCode</w:t>
            </w:r>
          </w:p>
        </w:tc>
        <w:tc>
          <w:tcPr>
            <w:tcW w:type="dxa" w:w="3389"/>
          </w:tcPr>
          <w:p>
            <w:r>
              <w:t>CreateTaxCodeCommand { string Code, string Name, decimal Rate, string TaxType, bool IsActive }</w:t>
            </w:r>
          </w:p>
        </w:tc>
        <w:tc>
          <w:tcPr>
            <w:tcW w:type="dxa" w:w="3389"/>
          </w:tcPr>
          <w:p>
            <w:r>
              <w:t>CreateTaxCodeResponse { Guid Id, string Code, string Name, decimal Rate, string TaxType, bool IsActive }</w:t>
            </w:r>
          </w:p>
        </w:tc>
      </w:tr>
      <w:tr>
        <w:tc>
          <w:tcPr>
            <w:tcW w:type="dxa" w:w="3389"/>
          </w:tcPr>
          <w:p>
            <w:r>
              <w:t>UpdateTaxCode</w:t>
            </w:r>
          </w:p>
        </w:tc>
        <w:tc>
          <w:tcPr>
            <w:tcW w:type="dxa" w:w="3389"/>
          </w:tcPr>
          <w:p>
            <w:r>
              <w:t>UpdateTaxCodeCommand { string Code, string Name, decimal Rate, string TaxType } + route Guid id</w:t>
            </w:r>
          </w:p>
        </w:tc>
        <w:tc>
          <w:tcPr>
            <w:tcW w:type="dxa" w:w="3389"/>
          </w:tcPr>
          <w:p>
            <w:r>
              <w:t>UpdateTaxCodeResponse { Guid Id, string Code, string Name, decimal Rate, string TaxType, bool IsActive }</w:t>
            </w:r>
          </w:p>
        </w:tc>
      </w:tr>
      <w:tr>
        <w:tc>
          <w:tcPr>
            <w:tcW w:type="dxa" w:w="3389"/>
          </w:tcPr>
          <w:p>
            <w:r>
              <w:t>GetTaxCodeById</w:t>
            </w:r>
          </w:p>
        </w:tc>
        <w:tc>
          <w:tcPr>
            <w:tcW w:type="dxa" w:w="3389"/>
          </w:tcPr>
          <w:p>
            <w:r>
              <w:t>No body; route Guid id</w:t>
            </w:r>
          </w:p>
        </w:tc>
        <w:tc>
          <w:tcPr>
            <w:tcW w:type="dxa" w:w="3389"/>
          </w:tcPr>
          <w:p>
            <w:r>
              <w:t>GetTaxCodeByIdResponse { Guid Id, string Code, string Name, decimal Rate, string TaxType, bool IsActive }</w:t>
            </w:r>
          </w:p>
        </w:tc>
      </w:tr>
      <w:tr>
        <w:tc>
          <w:tcPr>
            <w:tcW w:type="dxa" w:w="3389"/>
          </w:tcPr>
          <w:p>
            <w:r>
              <w:t>GetTaxCodes</w:t>
            </w:r>
          </w:p>
        </w:tc>
        <w:tc>
          <w:tcPr>
            <w:tcW w:type="dxa" w:w="3389"/>
          </w:tcPr>
          <w:p>
            <w:r>
              <w:t>No body; optional active-state filter only</w:t>
            </w:r>
          </w:p>
        </w:tc>
        <w:tc>
          <w:tcPr>
            <w:tcW w:type="dxa" w:w="3389"/>
          </w:tcPr>
          <w:p>
            <w:r>
              <w:t>IReadOnlyList&lt;GetTaxCodesResponse&gt; with same read fields</w:t>
            </w:r>
          </w:p>
        </w:tc>
      </w:tr>
      <w:tr>
        <w:tc>
          <w:tcPr>
            <w:tcW w:type="dxa" w:w="3389"/>
          </w:tcPr>
          <w:p>
            <w:r>
              <w:t>ActivateTaxCode</w:t>
            </w:r>
          </w:p>
        </w:tc>
        <w:tc>
          <w:tcPr>
            <w:tcW w:type="dxa" w:w="3389"/>
          </w:tcPr>
          <w:p>
            <w:r>
              <w:t>No body; route Guid id</w:t>
            </w:r>
          </w:p>
        </w:tc>
        <w:tc>
          <w:tcPr>
            <w:tcW w:type="dxa" w:w="3389"/>
          </w:tcPr>
          <w:p>
            <w:r>
              <w:t>ActivateTaxCodeResponse { Guid Id, string Code, string Name, decimal Rate, string TaxType, bool IsActive }</w:t>
            </w:r>
          </w:p>
        </w:tc>
      </w:tr>
      <w:tr>
        <w:tc>
          <w:tcPr>
            <w:tcW w:type="dxa" w:w="3389"/>
          </w:tcPr>
          <w:p>
            <w:r>
              <w:t>DeactivateTaxCode</w:t>
            </w:r>
          </w:p>
        </w:tc>
        <w:tc>
          <w:tcPr>
            <w:tcW w:type="dxa" w:w="3389"/>
          </w:tcPr>
          <w:p>
            <w:r>
              <w:t>No body; route Guid id</w:t>
            </w:r>
          </w:p>
        </w:tc>
        <w:tc>
          <w:tcPr>
            <w:tcW w:type="dxa" w:w="3389"/>
          </w:tcPr>
          <w:p>
            <w:r>
              <w:t>DeactivateTaxCodeResponse { Guid Id, string Code, string Name, decimal Rate, string TaxType, bool IsActive }</w:t>
            </w:r>
          </w:p>
        </w:tc>
      </w:tr>
    </w:tbl>
    <w:p>
      <w:r>
        <w:rPr>
          <w:sz w:val="19"/>
        </w:rPr>
        <w:t>TaxType is represented as a string at the HTTP boundary unless the implementation already has an authoritative enum. Do not invent tax categories beyond those required by the parent SRS. Rate uses decimal and the standard UAE VAT record is exactly 5%.</w:t>
      </w:r>
    </w:p>
    <w:p>
      <w:pPr>
        <w:pStyle w:val="Heading2"/>
      </w:pPr>
      <w:r>
        <w:t>8A.4 Product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CreateProduct</w:t>
            </w:r>
          </w:p>
        </w:tc>
        <w:tc>
          <w:tcPr>
            <w:tcW w:type="dxa" w:w="3389"/>
          </w:tcPr>
          <w:p>
            <w:r>
              <w:t>CreateProductCommand { string ProductCode, string Name, Guid CategoryId, Guid StockUomId, Guid TaxCodeId, decimal MinimumStockLevel, decimal ReorderQuantity, decimal SalesPrice, decimal PurchasePrice }</w:t>
            </w:r>
          </w:p>
        </w:tc>
        <w:tc>
          <w:tcPr>
            <w:tcW w:type="dxa" w:w="3389"/>
          </w:tcPr>
          <w:p>
            <w:r>
              <w:t>CreateProductResponse { Guid Id, string ProductCode, string Name, Guid CategoryId, Guid StockUomId, Guid TaxCodeId, decimal MinimumStockLevel, decimal ReorderQuantity, decimal SalesPrice, decimal PurchasePrice, bool IsActive }</w:t>
            </w:r>
          </w:p>
        </w:tc>
      </w:tr>
      <w:tr>
        <w:tc>
          <w:tcPr>
            <w:tcW w:type="dxa" w:w="3389"/>
          </w:tcPr>
          <w:p>
            <w:r>
              <w:t>UpdateProduct</w:t>
            </w:r>
          </w:p>
        </w:tc>
        <w:tc>
          <w:tcPr>
            <w:tcW w:type="dxa" w:w="3389"/>
          </w:tcPr>
          <w:p>
            <w:r>
              <w:t>UpdateProductCommand with the same editable fields as CreateProductCommand, including Name, + route Guid id</w:t>
            </w:r>
          </w:p>
        </w:tc>
        <w:tc>
          <w:tcPr>
            <w:tcW w:type="dxa" w:w="3389"/>
          </w:tcPr>
          <w:p>
            <w:r>
              <w:t>UpdateProductResponse with the same fields as CreateProductResponse, including Name</w:t>
            </w:r>
          </w:p>
        </w:tc>
      </w:tr>
      <w:tr>
        <w:tc>
          <w:tcPr>
            <w:tcW w:type="dxa" w:w="3389"/>
          </w:tcPr>
          <w:p>
            <w:r>
              <w:t>GetProductById</w:t>
            </w:r>
          </w:p>
        </w:tc>
        <w:tc>
          <w:tcPr>
            <w:tcW w:type="dxa" w:w="3389"/>
          </w:tcPr>
          <w:p>
            <w:r>
              <w:t>No body; route Guid id</w:t>
            </w:r>
          </w:p>
        </w:tc>
        <w:tc>
          <w:tcPr>
            <w:tcW w:type="dxa" w:w="3389"/>
          </w:tcPr>
          <w:p>
            <w:r>
              <w:t>GetProductByIdResponse with the complete Product master-data fields above, including Name</w:t>
            </w:r>
          </w:p>
        </w:tc>
      </w:tr>
      <w:tr>
        <w:tc>
          <w:tcPr>
            <w:tcW w:type="dxa" w:w="3389"/>
          </w:tcPr>
          <w:p>
            <w:r>
              <w:t>GetProducts</w:t>
            </w:r>
          </w:p>
        </w:tc>
        <w:tc>
          <w:tcPr>
            <w:tcW w:type="dxa" w:w="3389"/>
          </w:tcPr>
          <w:p>
            <w:r>
              <w:t>No body; optional active-state filter only unless another filter is separately authorized</w:t>
            </w:r>
          </w:p>
        </w:tc>
        <w:tc>
          <w:tcPr>
            <w:tcW w:type="dxa" w:w="3389"/>
          </w:tcPr>
          <w:p>
            <w:r>
              <w:t>IReadOnlyList&lt;GetProductsResponse&gt; containing ProductCode, Name and the Product master-data fields needed for selection/list display</w:t>
            </w:r>
          </w:p>
        </w:tc>
      </w:tr>
      <w:tr>
        <w:tc>
          <w:tcPr>
            <w:tcW w:type="dxa" w:w="3389"/>
          </w:tcPr>
          <w:p>
            <w:r>
              <w:t>ActivateProduct</w:t>
            </w:r>
          </w:p>
        </w:tc>
        <w:tc>
          <w:tcPr>
            <w:tcW w:type="dxa" w:w="3389"/>
          </w:tcPr>
          <w:p>
            <w:r>
              <w:t>No body; route Guid id</w:t>
            </w:r>
          </w:p>
        </w:tc>
        <w:tc>
          <w:tcPr>
            <w:tcW w:type="dxa" w:w="3389"/>
          </w:tcPr>
          <w:p>
            <w:r>
              <w:t>ActivateProductResponse { Guid Id, string ProductCode, string Name, bool IsActive }</w:t>
            </w:r>
          </w:p>
        </w:tc>
      </w:tr>
      <w:tr>
        <w:tc>
          <w:tcPr>
            <w:tcW w:type="dxa" w:w="3389"/>
          </w:tcPr>
          <w:p>
            <w:r>
              <w:t>DeactivateProduct</w:t>
            </w:r>
          </w:p>
        </w:tc>
        <w:tc>
          <w:tcPr>
            <w:tcW w:type="dxa" w:w="3389"/>
          </w:tcPr>
          <w:p>
            <w:r>
              <w:t>No body; route Guid id</w:t>
            </w:r>
          </w:p>
        </w:tc>
        <w:tc>
          <w:tcPr>
            <w:tcW w:type="dxa" w:w="3389"/>
          </w:tcPr>
          <w:p>
            <w:r>
              <w:t>DeactivateProductResponse { Guid Id, string ProductCode, string Name, bool IsActive }</w:t>
            </w:r>
          </w:p>
        </w:tc>
      </w:tr>
    </w:tbl>
    <w:p>
      <w:r>
        <w:rPr>
          <w:sz w:val="19"/>
        </w:rPr>
        <w:t>Stock quantity/on-hand/reserved values must not appear in Product DTOs. They belong to the later Inventory phase.</w:t>
      </w:r>
    </w:p>
    <w:p>
      <w:pPr>
        <w:pStyle w:val="Heading2"/>
      </w:pPr>
      <w:r>
        <w:t>8A.5 Customer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CreateCustomer</w:t>
            </w:r>
          </w:p>
        </w:tc>
        <w:tc>
          <w:tcPr>
            <w:tcW w:type="dxa" w:w="3389"/>
          </w:tcPr>
          <w:p>
            <w:r>
              <w:t>CreateCustomerCommand { string CustomerCode, string Name, string? BillingAddress, string? ShippingAddress, string? Phone, string? Email, string? TRN, decimal? CreditLimit }</w:t>
            </w:r>
          </w:p>
        </w:tc>
        <w:tc>
          <w:tcPr>
            <w:tcW w:type="dxa" w:w="3389"/>
          </w:tcPr>
          <w:p>
            <w:r>
              <w:t>CreateCustomerResponse { Guid Id, string CustomerCode, string Name, string? BillingAddress, string? ShippingAddress, string? Phone, string? Email, string? TRN, decimal? CreditLimit }</w:t>
            </w:r>
          </w:p>
        </w:tc>
      </w:tr>
      <w:tr>
        <w:tc>
          <w:tcPr>
            <w:tcW w:type="dxa" w:w="3389"/>
          </w:tcPr>
          <w:p>
            <w:r>
              <w:t>UpdateCustomer</w:t>
            </w:r>
          </w:p>
        </w:tc>
        <w:tc>
          <w:tcPr>
            <w:tcW w:type="dxa" w:w="3389"/>
          </w:tcPr>
          <w:p>
            <w:r>
              <w:t>UpdateCustomerCommand with the same editable fields as CreateCustomerCommand + route Guid id</w:t>
            </w:r>
          </w:p>
        </w:tc>
        <w:tc>
          <w:tcPr>
            <w:tcW w:type="dxa" w:w="3389"/>
          </w:tcPr>
          <w:p>
            <w:r>
              <w:t>UpdateCustomerResponse with the complete Customer fields</w:t>
            </w:r>
          </w:p>
        </w:tc>
      </w:tr>
      <w:tr>
        <w:tc>
          <w:tcPr>
            <w:tcW w:type="dxa" w:w="3389"/>
          </w:tcPr>
          <w:p>
            <w:r>
              <w:t>GetCustomerById</w:t>
            </w:r>
          </w:p>
        </w:tc>
        <w:tc>
          <w:tcPr>
            <w:tcW w:type="dxa" w:w="3389"/>
          </w:tcPr>
          <w:p>
            <w:r>
              <w:t>No body; route Guid id</w:t>
            </w:r>
          </w:p>
        </w:tc>
        <w:tc>
          <w:tcPr>
            <w:tcW w:type="dxa" w:w="3389"/>
          </w:tcPr>
          <w:p>
            <w:r>
              <w:t>GetCustomerByIdResponse with the complete Customer fields</w:t>
            </w:r>
          </w:p>
        </w:tc>
      </w:tr>
      <w:tr>
        <w:tc>
          <w:tcPr>
            <w:tcW w:type="dxa" w:w="3389"/>
          </w:tcPr>
          <w:p>
            <w:r>
              <w:t>GetCustomers</w:t>
            </w:r>
          </w:p>
        </w:tc>
        <w:tc>
          <w:tcPr>
            <w:tcW w:type="dxa" w:w="3389"/>
          </w:tcPr>
          <w:p>
            <w:r>
              <w:t>No body</w:t>
            </w:r>
          </w:p>
        </w:tc>
        <w:tc>
          <w:tcPr>
            <w:tcW w:type="dxa" w:w="3389"/>
          </w:tcPr>
          <w:p>
            <w:r>
              <w:t>IReadOnlyList&lt;GetCustomersResponse&gt; containing Customer master-data fields appropriate for list/selection use</w:t>
            </w:r>
          </w:p>
        </w:tc>
      </w:tr>
      <w:tr>
        <w:tc>
          <w:tcPr>
            <w:tcW w:type="dxa" w:w="3389"/>
          </w:tcPr>
          <w:p>
            <w:r>
              <w:t>DeleteCustomer</w:t>
            </w:r>
          </w:p>
        </w:tc>
        <w:tc>
          <w:tcPr>
            <w:tcW w:type="dxa" w:w="3389"/>
          </w:tcPr>
          <w:p>
            <w:r>
              <w:t>No body; route Guid id</w:t>
            </w:r>
          </w:p>
        </w:tc>
        <w:tc>
          <w:tcPr>
            <w:tcW w:type="dxa" w:w="3389"/>
          </w:tcPr>
          <w:p>
            <w:r>
              <w:t>204 No Content only when deletion is valid under current/later reference rules.</w:t>
            </w:r>
          </w:p>
        </w:tc>
      </w:tr>
    </w:tbl>
    <w:p>
      <w:r>
        <w:rPr>
          <w:sz w:val="19"/>
        </w:rPr>
        <w:t>The parent SRS names billing and shipping addresses but does not prescribe street/city/emirate/postal subfields. MD-01 therefore uses nullable string address DTO fields rather than inventing an address schema. This can be replaced by a later authoritative specification if required.</w:t>
      </w:r>
    </w:p>
    <w:p>
      <w:pPr>
        <w:pStyle w:val="Heading2"/>
      </w:pPr>
      <w:r>
        <w:t>8A.6 Supplier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CreateSupplier</w:t>
            </w:r>
          </w:p>
        </w:tc>
        <w:tc>
          <w:tcPr>
            <w:tcW w:type="dxa" w:w="3389"/>
          </w:tcPr>
          <w:p>
            <w:r>
              <w:t>CreateSupplierCommand { string SupplierCode, string Name, string? Address, string? ContactInformation, string? PaymentTerms, string? TRN }</w:t>
            </w:r>
          </w:p>
        </w:tc>
        <w:tc>
          <w:tcPr>
            <w:tcW w:type="dxa" w:w="3389"/>
          </w:tcPr>
          <w:p>
            <w:r>
              <w:t>CreateSupplierResponse { Guid Id, string SupplierCode, string Name, string? Address, string? ContactInformation, string? PaymentTerms, string? TRN }</w:t>
            </w:r>
          </w:p>
        </w:tc>
      </w:tr>
      <w:tr>
        <w:tc>
          <w:tcPr>
            <w:tcW w:type="dxa" w:w="3389"/>
          </w:tcPr>
          <w:p>
            <w:r>
              <w:t>UpdateSupplier</w:t>
            </w:r>
          </w:p>
        </w:tc>
        <w:tc>
          <w:tcPr>
            <w:tcW w:type="dxa" w:w="3389"/>
          </w:tcPr>
          <w:p>
            <w:r>
              <w:t>UpdateSupplierCommand with the same editable fields as CreateSupplierCommand + route Guid id</w:t>
            </w:r>
          </w:p>
        </w:tc>
        <w:tc>
          <w:tcPr>
            <w:tcW w:type="dxa" w:w="3389"/>
          </w:tcPr>
          <w:p>
            <w:r>
              <w:t>UpdateSupplierResponse with the complete Supplier fields</w:t>
            </w:r>
          </w:p>
        </w:tc>
      </w:tr>
      <w:tr>
        <w:tc>
          <w:tcPr>
            <w:tcW w:type="dxa" w:w="3389"/>
          </w:tcPr>
          <w:p>
            <w:r>
              <w:t>GetSupplierById</w:t>
            </w:r>
          </w:p>
        </w:tc>
        <w:tc>
          <w:tcPr>
            <w:tcW w:type="dxa" w:w="3389"/>
          </w:tcPr>
          <w:p>
            <w:r>
              <w:t>No body; route Guid id</w:t>
            </w:r>
          </w:p>
        </w:tc>
        <w:tc>
          <w:tcPr>
            <w:tcW w:type="dxa" w:w="3389"/>
          </w:tcPr>
          <w:p>
            <w:r>
              <w:t>GetSupplierByIdResponse with the complete Supplier fields</w:t>
            </w:r>
          </w:p>
        </w:tc>
      </w:tr>
      <w:tr>
        <w:tc>
          <w:tcPr>
            <w:tcW w:type="dxa" w:w="3389"/>
          </w:tcPr>
          <w:p>
            <w:r>
              <w:t>GetSuppliers</w:t>
            </w:r>
          </w:p>
        </w:tc>
        <w:tc>
          <w:tcPr>
            <w:tcW w:type="dxa" w:w="3389"/>
          </w:tcPr>
          <w:p>
            <w:r>
              <w:t>No body</w:t>
            </w:r>
          </w:p>
        </w:tc>
        <w:tc>
          <w:tcPr>
            <w:tcW w:type="dxa" w:w="3389"/>
          </w:tcPr>
          <w:p>
            <w:r>
              <w:t>IReadOnlyList&lt;GetSuppliersResponse&gt; containing Supplier master-data fields appropriate for list/selection use</w:t>
            </w:r>
          </w:p>
        </w:tc>
      </w:tr>
      <w:tr>
        <w:tc>
          <w:tcPr>
            <w:tcW w:type="dxa" w:w="3389"/>
          </w:tcPr>
          <w:p>
            <w:r>
              <w:t>DeleteSupplier</w:t>
            </w:r>
          </w:p>
        </w:tc>
        <w:tc>
          <w:tcPr>
            <w:tcW w:type="dxa" w:w="3389"/>
          </w:tcPr>
          <w:p>
            <w:r>
              <w:t>No body; route Guid id</w:t>
            </w:r>
          </w:p>
        </w:tc>
        <w:tc>
          <w:tcPr>
            <w:tcW w:type="dxa" w:w="3389"/>
          </w:tcPr>
          <w:p>
            <w:r>
              <w:t>204 No Content only when deletion is valid under current/later reference rules.</w:t>
            </w:r>
          </w:p>
        </w:tc>
      </w:tr>
    </w:tbl>
    <w:p>
      <w:r>
        <w:rPr>
          <w:sz w:val="19"/>
        </w:rPr>
        <w:t>The parent SRS does not decompose supplier contact information or payment terms into a separate model. Keep these DTO fields simple in MD-01; do not invent contact-person or payment-term modules.</w:t>
      </w:r>
    </w:p>
    <w:p>
      <w:pPr>
        <w:pStyle w:val="Heading2"/>
      </w:pPr>
      <w:r>
        <w:t>8A.7 Warehouse DTOs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Use case</w:t>
            </w:r>
          </w:p>
        </w:tc>
        <w:tc>
          <w:tcPr>
            <w:tcW w:type="dxa" w:w="3389"/>
          </w:tcPr>
          <w:p>
            <w:r>
              <w:t>Command / Query input contract</w:t>
            </w:r>
          </w:p>
        </w:tc>
        <w:tc>
          <w:tcPr>
            <w:tcW w:type="dxa" w:w="3389"/>
          </w:tcPr>
          <w:p>
            <w:r>
              <w:t>Response DTO / result</w:t>
            </w:r>
          </w:p>
        </w:tc>
      </w:tr>
      <w:tr>
        <w:tc>
          <w:tcPr>
            <w:tcW w:type="dxa" w:w="3389"/>
          </w:tcPr>
          <w:p>
            <w:r>
              <w:t>CreateWarehouse</w:t>
            </w:r>
          </w:p>
        </w:tc>
        <w:tc>
          <w:tcPr>
            <w:tcW w:type="dxa" w:w="3389"/>
          </w:tcPr>
          <w:p>
            <w:r>
              <w:t>CreateWarehouseCommand { string WarehouseCode, string Name }</w:t>
            </w:r>
          </w:p>
        </w:tc>
        <w:tc>
          <w:tcPr>
            <w:tcW w:type="dxa" w:w="3389"/>
          </w:tcPr>
          <w:p>
            <w:r>
              <w:t>CreateWarehouseResponse { Guid Id, string WarehouseCode, string Name, bool IsActive }</w:t>
            </w:r>
          </w:p>
        </w:tc>
      </w:tr>
      <w:tr>
        <w:tc>
          <w:tcPr>
            <w:tcW w:type="dxa" w:w="3389"/>
          </w:tcPr>
          <w:p>
            <w:r>
              <w:t>UpdateWarehouse</w:t>
            </w:r>
          </w:p>
        </w:tc>
        <w:tc>
          <w:tcPr>
            <w:tcW w:type="dxa" w:w="3389"/>
          </w:tcPr>
          <w:p>
            <w:r>
              <w:t>UpdateWarehouseCommand { string WarehouseCode, string Name } + route Guid id</w:t>
            </w:r>
          </w:p>
        </w:tc>
        <w:tc>
          <w:tcPr>
            <w:tcW w:type="dxa" w:w="3389"/>
          </w:tcPr>
          <w:p>
            <w:r>
              <w:t>UpdateWarehouseResponse { Guid Id, string WarehouseCode, string Name, bool IsActive }</w:t>
            </w:r>
          </w:p>
        </w:tc>
      </w:tr>
      <w:tr>
        <w:tc>
          <w:tcPr>
            <w:tcW w:type="dxa" w:w="3389"/>
          </w:tcPr>
          <w:p>
            <w:r>
              <w:t>GetWarehouseById</w:t>
            </w:r>
          </w:p>
        </w:tc>
        <w:tc>
          <w:tcPr>
            <w:tcW w:type="dxa" w:w="3389"/>
          </w:tcPr>
          <w:p>
            <w:r>
              <w:t>No body; route Guid id</w:t>
            </w:r>
          </w:p>
        </w:tc>
        <w:tc>
          <w:tcPr>
            <w:tcW w:type="dxa" w:w="3389"/>
          </w:tcPr>
          <w:p>
            <w:r>
              <w:t>GetWarehouseByIdResponse { Guid Id, string WarehouseCode, string Name, bool IsActive }</w:t>
            </w:r>
          </w:p>
        </w:tc>
      </w:tr>
      <w:tr>
        <w:tc>
          <w:tcPr>
            <w:tcW w:type="dxa" w:w="3389"/>
          </w:tcPr>
          <w:p>
            <w:r>
              <w:t>GetWarehouses</w:t>
            </w:r>
          </w:p>
        </w:tc>
        <w:tc>
          <w:tcPr>
            <w:tcW w:type="dxa" w:w="3389"/>
          </w:tcPr>
          <w:p>
            <w:r>
              <w:t>No body; optional active-state filter only</w:t>
            </w:r>
          </w:p>
        </w:tc>
        <w:tc>
          <w:tcPr>
            <w:tcW w:type="dxa" w:w="3389"/>
          </w:tcPr>
          <w:p>
            <w:r>
              <w:t>IReadOnlyList&lt;GetWarehousesResponse&gt; where item = { Guid Id, string WarehouseCode, string Name, bool IsActive }</w:t>
            </w:r>
          </w:p>
        </w:tc>
      </w:tr>
      <w:tr>
        <w:tc>
          <w:tcPr>
            <w:tcW w:type="dxa" w:w="3389"/>
          </w:tcPr>
          <w:p>
            <w:r>
              <w:t>ActivateWarehouse</w:t>
            </w:r>
          </w:p>
        </w:tc>
        <w:tc>
          <w:tcPr>
            <w:tcW w:type="dxa" w:w="3389"/>
          </w:tcPr>
          <w:p>
            <w:r>
              <w:t>No body; route Guid id</w:t>
            </w:r>
          </w:p>
        </w:tc>
        <w:tc>
          <w:tcPr>
            <w:tcW w:type="dxa" w:w="3389"/>
          </w:tcPr>
          <w:p>
            <w:r>
              <w:t>ActivateWarehouseResponse { Guid Id, string WarehouseCode, string Name, bool IsActive }</w:t>
            </w:r>
          </w:p>
        </w:tc>
      </w:tr>
      <w:tr>
        <w:tc>
          <w:tcPr>
            <w:tcW w:type="dxa" w:w="3389"/>
          </w:tcPr>
          <w:p>
            <w:r>
              <w:t>DeactivateWarehouse</w:t>
            </w:r>
          </w:p>
        </w:tc>
        <w:tc>
          <w:tcPr>
            <w:tcW w:type="dxa" w:w="3389"/>
          </w:tcPr>
          <w:p>
            <w:r>
              <w:t>No body; route Guid id</w:t>
            </w:r>
          </w:p>
        </w:tc>
        <w:tc>
          <w:tcPr>
            <w:tcW w:type="dxa" w:w="3389"/>
          </w:tcPr>
          <w:p>
            <w:r>
              <w:t>DeactivateWarehouseResponse { Guid Id, string WarehouseCode, string Name, bool IsActive }</w:t>
            </w:r>
          </w:p>
        </w:tc>
      </w:tr>
    </w:tbl>
    <w:p>
      <w:pPr>
        <w:pStyle w:val="Heading2"/>
      </w:pPr>
      <w:r>
        <w:t>8A.8 Required Slice File Contract</w:t>
      </w:r>
    </w:p>
    <w:p>
      <w:r>
        <w:t>For each body-based command slice, the expected minimum files are:</w:t>
      </w:r>
    </w:p>
    <w:p>
      <w:r>
        <w:t>CreateXCommand.cs</w:t>
        <w:br/>
        <w:t>CreateXResponse.cs</w:t>
        <w:br/>
        <w:t>CreateXHandler.cs</w:t>
        <w:br/>
        <w:t>CreateXValidator.cs</w:t>
        <w:br/>
        <w:t>CreateXEndPoint.cs</w:t>
      </w:r>
    </w:p>
    <w:p>
      <w:r>
        <w:t>For query slices, use the equivalent Query/Response/Handler/EndPoint files. A validator is required only when the command/query has input requiring validation. Route-only state-change commands do not require separate Request DTOs; do not create XRequest classes solely to duplicate command/query input.</w:t>
      </w:r>
    </w:p>
    <w:p>
      <w:pPr>
        <w:pStyle w:val="Heading3"/>
      </w:pPr>
      <w:r>
        <w:t>Example:</w:t>
      </w:r>
    </w:p>
    <w:p>
      <w:r>
        <w:t>Application/Features/MasterData/Categories/CreateCategory/</w:t>
        <w:br/>
        <w:t xml:space="preserve">  CreateCategoryCommand.cs</w:t>
        <w:br/>
        <w:t xml:space="preserve">  CreateCategoryResponse.cs</w:t>
        <w:br/>
        <w:t xml:space="preserve">  CreateCategoryHandler.cs</w:t>
        <w:br/>
        <w:t xml:space="preserve">  CreateCategoryValidator.cs</w:t>
        <w:br/>
        <w:t xml:space="preserve">  CreateCategoryEndPoint.cs</w:t>
      </w:r>
    </w:p>
    <w:p>
      <w:pPr>
        <w:pStyle w:val="Heading2"/>
      </w:pPr>
      <w:r>
        <w:t>8A.9 DTO Mapping and Stability Rules</w:t>
      </w:r>
    </w:p>
    <w:p>
      <w:pPr>
        <w:pStyle w:val="ListBullet"/>
      </w:pPr>
      <w:r>
        <w:t>Commands and queries must not contain posting/audit fields, stock state, or fields belonging to later modules unless explicitly required by this specification.</w:t>
      </w:r>
    </w:p>
    <w:p>
      <w:pPr>
        <w:pStyle w:val="ListBullet"/>
      </w:pPr>
      <w:r>
        <w:t>Route identifiers remain route parameters at the HTTP boundary and are bound into the command/query as appropriate.</w:t>
      </w:r>
    </w:p>
    <w:p>
      <w:pPr>
        <w:pStyle w:val="ListBullet"/>
      </w:pPr>
      <w:r>
        <w:t>EndPoints must not pass commands/queries into Infrastructure directly.</w:t>
      </w:r>
    </w:p>
    <w:p>
      <w:pPr>
        <w:pStyle w:val="ListBullet"/>
      </w:pPr>
      <w:r>
        <w:t>Handlers must return the explicit XResponse DTO type defined for the use case (or the explicitly specified result such as 204 No Content). Returning an anonymous object, tuple, Domain entity, EF entity, or other structurally equivalent object in place of the defined XResponse DTO is not compliant.</w:t>
      </w:r>
    </w:p>
    <w:p>
      <w:pPr>
        <w:pStyle w:val="ListBullet"/>
      </w:pPr>
      <w:r>
        <w:t>Response DTOs must not expose EF tracking/navigation objects or internal domain-event collections.</w:t>
      </w:r>
    </w:p>
    <w:p>
      <w:pPr>
        <w:pStyle w:val="ListBullet"/>
      </w:pPr>
      <w:r>
        <w:t>Create operations return the created resource identifier and relevant master-data state. Update/activate/deactivate operations return the resulting state as specified above.</w:t>
      </w:r>
    </w:p>
    <w:p>
      <w:pPr>
        <w:pStyle w:val="ListBullet"/>
      </w:pPr>
      <w:r>
        <w:t>List response DTOs may be intentionally smaller than detail responses, but must not introduce fields unsupported by the parent SRS.</w:t>
      </w:r>
    </w:p>
    <w:p>
      <w:pPr>
        <w:pStyle w:val="ListBullet"/>
      </w:pPr>
      <w:r>
        <w:t>If pagination is added later, it requires an authoritative requirement; MD-01 does not invent pagination parameters for Master Data.</w:t>
      </w:r>
    </w:p>
    <w:p>
      <w:pPr>
        <w:pStyle w:val="Heading1"/>
      </w:pPr>
      <w:r>
        <w:t>9. Validation Requirements</w:t>
      </w:r>
    </w:p>
    <w:p>
      <w:pPr>
        <w:pStyle w:val="ListBullet"/>
      </w:pPr>
      <w:r>
        <w:t>Required codes/names must reject empty or whitespace-only input.</w:t>
      </w:r>
    </w:p>
    <w:p>
      <w:pPr>
        <w:pStyle w:val="ListBullet"/>
      </w:pPr>
      <w:r>
        <w:t>Product.Name is required and must reject null, empty or whitespace-only input. Apply a reasonable technical maximum length consistently in validation and EF mapping; do not infer additional naming semantics.</w:t>
      </w:r>
    </w:p>
    <w:p>
      <w:pPr>
        <w:pStyle w:val="ListBullet"/>
      </w:pPr>
      <w:r>
        <w:t>Unique fields must return a controlled conflict/validation response rather than raw SQL exception details.</w:t>
      </w:r>
    </w:p>
    <w:p>
      <w:pPr>
        <w:pStyle w:val="ListBullet"/>
      </w:pPr>
      <w:r>
        <w:t>Product must reject nonexistent Category, UoM or TaxCode references.</w:t>
      </w:r>
    </w:p>
    <w:p>
      <w:pPr>
        <w:pStyle w:val="ListBullet"/>
      </w:pPr>
      <w:r>
        <w:t>Product price, minimum stock and reorder quantity must not accept nonsensical negative values unless the parent SRS explicitly allows them; no such allowance exists.</w:t>
      </w:r>
    </w:p>
    <w:p>
      <w:pPr>
        <w:pStyle w:val="ListBullet"/>
      </w:pPr>
      <w:r>
        <w:t>Tax rate must be represented safely and validated as a percentage/rate value; UAE standard VAT seed is exactly 5%.</w:t>
      </w:r>
    </w:p>
    <w:p>
      <w:pPr>
        <w:pStyle w:val="ListBullet"/>
      </w:pPr>
      <w:r>
        <w:t>Email, if supplied, must be syntactically valid.</w:t>
      </w:r>
    </w:p>
    <w:p>
      <w:pPr>
        <w:pStyle w:val="ListBullet"/>
      </w:pPr>
      <w:r>
        <w:t>TRN fields are supported, but the parent SRS does not define a TRN validation algorithm; do not invent legal validation rules.</w:t>
      </w:r>
    </w:p>
    <w:p>
      <w:pPr>
        <w:pStyle w:val="ListBullet"/>
      </w:pPr>
      <w:r>
        <w:t>CreditLimit, if supplied, must not be negative.</w:t>
      </w:r>
    </w:p>
    <w:p>
      <w:pPr>
        <w:pStyle w:val="ListBullet"/>
      </w:pPr>
      <w:r>
        <w:t>Inactive state must persist and be queryable.</w:t>
      </w:r>
    </w:p>
    <w:p>
      <w:pPr>
        <w:pStyle w:val="ListBullet"/>
      </w:pPr>
      <w:r>
        <w:t>Validation uses the BF-01 FluentValidation/MediatR pipeline where appropriate.</w:t>
      </w:r>
    </w:p>
    <w:p>
      <w:pPr>
        <w:pStyle w:val="Heading1"/>
      </w:pPr>
      <w:r>
        <w:t>10. Authorization Boundary</w:t>
      </w:r>
    </w:p>
    <w:p>
      <w:r>
        <w:rPr>
          <w:sz w:val="19"/>
        </w:rPr>
        <w:t>The parent permission matrix requires MasterData.View and MasterData.Manage, plus Customers.Manage and Suppliers.Manage. However, BF-01 intentionally deferred JWT/policy implementation. MD-01 must not invent partial security. Keep endpoint definitions compatible with attaching these exact policies in the Administration/Auth phase. If authentication/policy infrastructure already exists legitimately in the repository, apply the parent permissions exactly; otherwise record authorization as deferred dependency rather than implementing an incompatible substitute.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Operation family</w:t>
            </w:r>
          </w:p>
        </w:tc>
        <w:tc>
          <w:tcPr>
            <w:tcW w:type="dxa" w:w="5083"/>
            <w:vAlign w:val="center"/>
          </w:tcPr>
          <w:p>
            <w:r>
              <w:rPr>
                <w:b/>
              </w:rPr>
              <w:t>Parent permission</w:t>
            </w:r>
          </w:p>
        </w:tc>
      </w:tr>
      <w:tr>
        <w:tc>
          <w:tcPr>
            <w:tcW w:type="dxa" w:w="5083"/>
            <w:vAlign w:val="top"/>
          </w:tcPr>
          <w:p>
            <w:r>
              <w:t>Read general master data</w:t>
            </w:r>
          </w:p>
        </w:tc>
        <w:tc>
          <w:tcPr>
            <w:tcW w:type="dxa" w:w="5083"/>
            <w:vAlign w:val="top"/>
          </w:tcPr>
          <w:p>
            <w:r>
              <w:t>MasterData.View</w:t>
            </w:r>
          </w:p>
        </w:tc>
      </w:tr>
      <w:tr>
        <w:tc>
          <w:tcPr>
            <w:tcW w:type="dxa" w:w="5083"/>
            <w:vAlign w:val="top"/>
          </w:tcPr>
          <w:p>
            <w:r>
              <w:t>Manage Product/Category/UoM/TaxCode/Warehouse</w:t>
            </w:r>
          </w:p>
        </w:tc>
        <w:tc>
          <w:tcPr>
            <w:tcW w:type="dxa" w:w="5083"/>
            <w:vAlign w:val="top"/>
          </w:tcPr>
          <w:p>
            <w:r>
              <w:t>MasterData.Manage</w:t>
            </w:r>
          </w:p>
        </w:tc>
      </w:tr>
      <w:tr>
        <w:tc>
          <w:tcPr>
            <w:tcW w:type="dxa" w:w="5083"/>
            <w:vAlign w:val="top"/>
          </w:tcPr>
          <w:p>
            <w:r>
              <w:t>Manage Customer</w:t>
            </w:r>
          </w:p>
        </w:tc>
        <w:tc>
          <w:tcPr>
            <w:tcW w:type="dxa" w:w="5083"/>
            <w:vAlign w:val="top"/>
          </w:tcPr>
          <w:p>
            <w:r>
              <w:t>Customers.Manage</w:t>
            </w:r>
          </w:p>
        </w:tc>
      </w:tr>
      <w:tr>
        <w:tc>
          <w:tcPr>
            <w:tcW w:type="dxa" w:w="5083"/>
            <w:vAlign w:val="top"/>
          </w:tcPr>
          <w:p>
            <w:r>
              <w:t>Manage Supplier</w:t>
            </w:r>
          </w:p>
        </w:tc>
        <w:tc>
          <w:tcPr>
            <w:tcW w:type="dxa" w:w="5083"/>
            <w:vAlign w:val="top"/>
          </w:tcPr>
          <w:p>
            <w:r>
              <w:t>Suppliers.Manage</w:t>
            </w:r>
          </w:p>
        </w:tc>
      </w:tr>
    </w:tbl>
    <w:p>
      <w:pPr>
        <w:pStyle w:val="Heading1"/>
      </w:pPr>
      <w:r>
        <w:t>11. Seed Data</w:t>
      </w:r>
    </w:p>
    <w:p>
      <w:pPr>
        <w:pStyle w:val="ListBullet"/>
      </w:pPr>
      <w:r>
        <w:t>Seed/configure the UAE standard VAT TaxCode at exactly 5% as required by FR-MST-016.</w:t>
      </w:r>
    </w:p>
    <w:p>
      <w:pPr>
        <w:pStyle w:val="ListBullet"/>
      </w:pPr>
      <w:r>
        <w:t>Seed must be deterministic/idempotent across migrations/deployments.</w:t>
      </w:r>
    </w:p>
    <w:p>
      <w:pPr>
        <w:pStyle w:val="ListBullet"/>
      </w:pPr>
      <w:r>
        <w:t>Do not seed arbitrary products, customers, suppliers, warehouses or business demo data as production master records.</w:t>
      </w:r>
    </w:p>
    <w:p>
      <w:pPr>
        <w:pStyle w:val="ListBullet"/>
      </w:pPr>
      <w:r>
        <w:t>Do not treat seed data as a substitute for CRUD tests.</w:t>
      </w:r>
    </w:p>
    <w:p>
      <w:pPr>
        <w:pStyle w:val="Heading1"/>
      </w:pPr>
      <w:r>
        <w:t>12. API Error Semantics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Situation</w:t>
            </w:r>
          </w:p>
        </w:tc>
        <w:tc>
          <w:tcPr>
            <w:tcW w:type="dxa" w:w="5083"/>
            <w:vAlign w:val="center"/>
          </w:tcPr>
          <w:p>
            <w:r>
              <w:rPr>
                <w:b/>
              </w:rPr>
              <w:t>Expected semantic result</w:t>
            </w:r>
          </w:p>
        </w:tc>
      </w:tr>
      <w:tr>
        <w:tc>
          <w:tcPr>
            <w:tcW w:type="dxa" w:w="5083"/>
            <w:vAlign w:val="top"/>
          </w:tcPr>
          <w:p>
            <w:r>
              <w:t>Validation failure</w:t>
            </w:r>
          </w:p>
        </w:tc>
        <w:tc>
          <w:tcPr>
            <w:tcW w:type="dxa" w:w="5083"/>
            <w:vAlign w:val="top"/>
          </w:tcPr>
          <w:p>
            <w:r>
              <w:t>400 Bad Request / validation ProblemDetails.</w:t>
            </w:r>
          </w:p>
        </w:tc>
      </w:tr>
      <w:tr>
        <w:tc>
          <w:tcPr>
            <w:tcW w:type="dxa" w:w="5083"/>
            <w:vAlign w:val="top"/>
          </w:tcPr>
          <w:p>
            <w:r>
              <w:t>Requested master record not found</w:t>
            </w:r>
          </w:p>
        </w:tc>
        <w:tc>
          <w:tcPr>
            <w:tcW w:type="dxa" w:w="5083"/>
            <w:vAlign w:val="top"/>
          </w:tcPr>
          <w:p>
            <w:r>
              <w:t>404 Not Found.</w:t>
            </w:r>
          </w:p>
        </w:tc>
      </w:tr>
      <w:tr>
        <w:tc>
          <w:tcPr>
            <w:tcW w:type="dxa" w:w="5083"/>
            <w:vAlign w:val="top"/>
          </w:tcPr>
          <w:p>
            <w:r>
              <w:t>Uniqueness conflict</w:t>
            </w:r>
          </w:p>
        </w:tc>
        <w:tc>
          <w:tcPr>
            <w:tcW w:type="dxa" w:w="5083"/>
            <w:vAlign w:val="top"/>
          </w:tcPr>
          <w:p>
            <w:r>
              <w:t>409 Conflict or the repository's consistent equivalent client-conflict representation.</w:t>
            </w:r>
          </w:p>
        </w:tc>
      </w:tr>
      <w:tr>
        <w:tc>
          <w:tcPr>
            <w:tcW w:type="dxa" w:w="5083"/>
            <w:vAlign w:val="top"/>
          </w:tcPr>
          <w:p>
            <w:r>
              <w:t>Delete referenced Category/UoM/TaxCode</w:t>
            </w:r>
          </w:p>
        </w:tc>
        <w:tc>
          <w:tcPr>
            <w:tcW w:type="dxa" w:w="5083"/>
            <w:vAlign w:val="top"/>
          </w:tcPr>
          <w:p>
            <w:r>
              <w:t>409 Conflict / controlled domain conflict.</w:t>
            </w:r>
          </w:p>
        </w:tc>
      </w:tr>
      <w:tr>
        <w:tc>
          <w:tcPr>
            <w:tcW w:type="dxa" w:w="5083"/>
            <w:vAlign w:val="top"/>
          </w:tcPr>
          <w:p>
            <w:r>
              <w:t>Unexpected error</w:t>
            </w:r>
          </w:p>
        </w:tc>
        <w:tc>
          <w:tcPr>
            <w:tcW w:type="dxa" w:w="5083"/>
            <w:vAlign w:val="top"/>
          </w:tcPr>
          <w:p>
            <w:r>
              <w:t>500 ProblemDetails without sensitive internals; logged via foundation logging.</w:t>
            </w:r>
          </w:p>
        </w:tc>
      </w:tr>
    </w:tbl>
    <w:p>
      <w:pPr>
        <w:pStyle w:val="Heading1"/>
      </w:pPr>
      <w:r>
        <w:t>13. Automated Test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Type</w:t>
            </w:r>
          </w:p>
        </w:tc>
        <w:tc>
          <w:tcPr>
            <w:tcW w:type="dxa" w:w="5083"/>
            <w:vAlign w:val="center"/>
          </w:tcPr>
          <w:p>
            <w:r>
              <w:rPr>
                <w:b/>
              </w:rPr>
              <w:t>Test intent</w:t>
            </w:r>
          </w:p>
        </w:tc>
      </w:tr>
      <w:tr>
        <w:tc>
          <w:tcPr>
            <w:tcW w:type="dxa" w:w="5083"/>
            <w:vAlign w:val="top"/>
          </w:tcPr>
          <w:p>
            <w:r>
              <w:t>Architecture</w:t>
            </w:r>
          </w:p>
        </w:tc>
        <w:tc>
          <w:tcPr>
            <w:tcW w:type="dxa" w:w="5083"/>
            <w:vAlign w:val="top"/>
          </w:tcPr>
          <w:p>
            <w:r>
              <w:t>Master Data additions preserve BF-01 dependency rules.</w:t>
            </w:r>
          </w:p>
        </w:tc>
      </w:tr>
      <w:tr>
        <w:tc>
          <w:tcPr>
            <w:tcW w:type="dxa" w:w="5083"/>
            <w:vAlign w:val="top"/>
          </w:tcPr>
          <w:p>
            <w:r>
              <w:t>Domain/Application</w:t>
            </w:r>
          </w:p>
        </w:tc>
        <w:tc>
          <w:tcPr>
            <w:tcW w:type="dxa" w:w="5083"/>
            <w:vAlign w:val="top"/>
          </w:tcPr>
          <w:p>
            <w:r>
              <w:t>Create Product rejects missing Category/UoM/TaxCode references.</w:t>
            </w:r>
          </w:p>
        </w:tc>
      </w:tr>
      <w:tr>
        <w:tc>
          <w:tcPr>
            <w:tcW w:type="dxa" w:w="5083"/>
            <w:vAlign w:val="top"/>
          </w:tcPr>
          <w:p>
            <w:r>
              <w:t>Integration</w:t>
            </w:r>
          </w:p>
        </w:tc>
        <w:tc>
          <w:tcPr>
            <w:tcW w:type="dxa" w:w="5083"/>
            <w:vAlign w:val="top"/>
          </w:tcPr>
          <w:p>
            <w:r>
              <w:t>Category name uniqueness is enforced.</w:t>
            </w:r>
          </w:p>
        </w:tc>
      </w:tr>
      <w:tr>
        <w:tc>
          <w:tcPr>
            <w:tcW w:type="dxa" w:w="5083"/>
            <w:vAlign w:val="top"/>
          </w:tcPr>
          <w:p>
            <w:r>
              <w:t>Integration</w:t>
            </w:r>
          </w:p>
        </w:tc>
        <w:tc>
          <w:tcPr>
            <w:tcW w:type="dxa" w:w="5083"/>
            <w:vAlign w:val="top"/>
          </w:tcPr>
          <w:p>
            <w:r>
              <w:t>Referenced Category cannot be deleted.</w:t>
            </w:r>
          </w:p>
        </w:tc>
      </w:tr>
      <w:tr>
        <w:tc>
          <w:tcPr>
            <w:tcW w:type="dxa" w:w="5083"/>
            <w:vAlign w:val="top"/>
          </w:tcPr>
          <w:p>
            <w:r>
              <w:t>Integration</w:t>
            </w:r>
          </w:p>
        </w:tc>
        <w:tc>
          <w:tcPr>
            <w:tcW w:type="dxa" w:w="5083"/>
            <w:vAlign w:val="top"/>
          </w:tcPr>
          <w:p>
            <w:r>
              <w:t>UoM code uniqueness is enforced.</w:t>
            </w:r>
          </w:p>
        </w:tc>
      </w:tr>
      <w:tr>
        <w:tc>
          <w:tcPr>
            <w:tcW w:type="dxa" w:w="5083"/>
            <w:vAlign w:val="top"/>
          </w:tcPr>
          <w:p>
            <w:r>
              <w:t>Integration</w:t>
            </w:r>
          </w:p>
        </w:tc>
        <w:tc>
          <w:tcPr>
            <w:tcW w:type="dxa" w:w="5083"/>
            <w:vAlign w:val="top"/>
          </w:tcPr>
          <w:p>
            <w:r>
              <w:t>UoM name uniqueness is enforced.</w:t>
            </w:r>
          </w:p>
        </w:tc>
      </w:tr>
      <w:tr>
        <w:tc>
          <w:tcPr>
            <w:tcW w:type="dxa" w:w="5083"/>
            <w:vAlign w:val="top"/>
          </w:tcPr>
          <w:p>
            <w:r>
              <w:t>Integration</w:t>
            </w:r>
          </w:p>
        </w:tc>
        <w:tc>
          <w:tcPr>
            <w:tcW w:type="dxa" w:w="5083"/>
            <w:vAlign w:val="top"/>
          </w:tcPr>
          <w:p>
            <w:r>
              <w:t>UAE standard VAT TaxCode exists at 5% after database initialization/migration strategy.</w:t>
            </w:r>
          </w:p>
        </w:tc>
      </w:tr>
      <w:tr>
        <w:tc>
          <w:tcPr>
            <w:tcW w:type="dxa" w:w="5083"/>
            <w:vAlign w:val="top"/>
          </w:tcPr>
          <w:p>
            <w:r>
              <w:t>Integration</w:t>
            </w:r>
          </w:p>
        </w:tc>
        <w:tc>
          <w:tcPr>
            <w:tcW w:type="dxa" w:w="5083"/>
            <w:vAlign w:val="top"/>
          </w:tcPr>
          <w:p>
            <w:r>
              <w:t>Product code uniqueness is enforced.</w:t>
            </w:r>
          </w:p>
        </w:tc>
      </w:tr>
      <w:tr>
        <w:tc>
          <w:tcPr>
            <w:tcW w:type="dxa" w:w="5083"/>
            <w:vAlign w:val="top"/>
          </w:tcPr>
          <w:p>
            <w:r>
              <w:t>Integration</w:t>
            </w:r>
          </w:p>
        </w:tc>
        <w:tc>
          <w:tcPr>
            <w:tcW w:type="dxa" w:w="5083"/>
            <w:vAlign w:val="top"/>
          </w:tcPr>
          <w:p>
            <w:r>
              <w:t>Product requires Category, stock UoM and TaxCode.</w:t>
            </w:r>
          </w:p>
        </w:tc>
      </w:tr>
      <w:tr>
        <w:tc>
          <w:tcPr>
            <w:tcW w:type="dxa" w:w="5083"/>
            <w:vAlign w:val="top"/>
          </w:tcPr>
          <w:p>
            <w:r>
              <w:t>Integration</w:t>
            </w:r>
          </w:p>
        </w:tc>
        <w:tc>
          <w:tcPr>
            <w:tcW w:type="dxa" w:w="5083"/>
            <w:vAlign w:val="top"/>
          </w:tcPr>
          <w:p>
            <w:r>
              <w:t>Product can be activated/deactivated and inactive state persists.</w:t>
            </w:r>
          </w:p>
        </w:tc>
      </w:tr>
      <w:tr>
        <w:tc>
          <w:tcPr>
            <w:tcW w:type="dxa" w:w="5083"/>
            <w:vAlign w:val="top"/>
          </w:tcPr>
          <w:p>
            <w:r>
              <w:t>Integration</w:t>
            </w:r>
          </w:p>
        </w:tc>
        <w:tc>
          <w:tcPr>
            <w:tcW w:type="dxa" w:w="5083"/>
            <w:vAlign w:val="top"/>
          </w:tcPr>
          <w:p>
            <w:r>
              <w:t>Negative product prices/minimum stock/reorder quantity are rejected.</w:t>
            </w:r>
          </w:p>
        </w:tc>
      </w:tr>
      <w:tr>
        <w:tc>
          <w:tcPr>
            <w:tcW w:type="dxa" w:w="5083"/>
            <w:vAlign w:val="top"/>
          </w:tcPr>
          <w:p>
            <w:r>
              <w:t>Integration</w:t>
            </w:r>
          </w:p>
        </w:tc>
        <w:tc>
          <w:tcPr>
            <w:tcW w:type="dxa" w:w="5083"/>
            <w:vAlign w:val="top"/>
          </w:tcPr>
          <w:p>
            <w:r>
              <w:t>Customer code uniqueness is enforced.</w:t>
            </w:r>
          </w:p>
        </w:tc>
      </w:tr>
      <w:tr>
        <w:tc>
          <w:tcPr>
            <w:tcW w:type="dxa" w:w="5083"/>
            <w:vAlign w:val="top"/>
          </w:tcPr>
          <w:p>
            <w:r>
              <w:t>Integration</w:t>
            </w:r>
          </w:p>
        </w:tc>
        <w:tc>
          <w:tcPr>
            <w:tcW w:type="dxa" w:w="5083"/>
            <w:vAlign w:val="top"/>
          </w:tcPr>
          <w:p>
            <w:r>
              <w:t>Customer stores billing/shipping/contact/TRN fields and configurable credit limit.</w:t>
            </w:r>
          </w:p>
        </w:tc>
      </w:tr>
      <w:tr>
        <w:tc>
          <w:tcPr>
            <w:tcW w:type="dxa" w:w="5083"/>
            <w:vAlign w:val="top"/>
          </w:tcPr>
          <w:p>
            <w:r>
              <w:t>Integration</w:t>
            </w:r>
          </w:p>
        </w:tc>
        <w:tc>
          <w:tcPr>
            <w:tcW w:type="dxa" w:w="5083"/>
            <w:vAlign w:val="top"/>
          </w:tcPr>
          <w:p>
            <w:r>
              <w:t>Negative customer credit limit is rejected.</w:t>
            </w:r>
          </w:p>
        </w:tc>
      </w:tr>
      <w:tr>
        <w:tc>
          <w:tcPr>
            <w:tcW w:type="dxa" w:w="5083"/>
            <w:vAlign w:val="top"/>
          </w:tcPr>
          <w:p>
            <w:r>
              <w:t>Integration</w:t>
            </w:r>
          </w:p>
        </w:tc>
        <w:tc>
          <w:tcPr>
            <w:tcW w:type="dxa" w:w="5083"/>
            <w:vAlign w:val="top"/>
          </w:tcPr>
          <w:p>
            <w:r>
              <w:t>Supplier code uniqueness is enforced.</w:t>
            </w:r>
          </w:p>
        </w:tc>
      </w:tr>
      <w:tr>
        <w:tc>
          <w:tcPr>
            <w:tcW w:type="dxa" w:w="5083"/>
            <w:vAlign w:val="top"/>
          </w:tcPr>
          <w:p>
            <w:r>
              <w:t>Integration</w:t>
            </w:r>
          </w:p>
        </w:tc>
        <w:tc>
          <w:tcPr>
            <w:tcW w:type="dxa" w:w="5083"/>
            <w:vAlign w:val="top"/>
          </w:tcPr>
          <w:p>
            <w:r>
              <w:t>Supplier stores address/contact/payment terms/TRN fields.</w:t>
            </w:r>
          </w:p>
        </w:tc>
      </w:tr>
      <w:tr>
        <w:tc>
          <w:tcPr>
            <w:tcW w:type="dxa" w:w="5083"/>
            <w:vAlign w:val="top"/>
          </w:tcPr>
          <w:p>
            <w:r>
              <w:t>Integration</w:t>
            </w:r>
          </w:p>
        </w:tc>
        <w:tc>
          <w:tcPr>
            <w:tcW w:type="dxa" w:w="5083"/>
            <w:vAlign w:val="top"/>
          </w:tcPr>
          <w:p>
            <w:r>
              <w:t>Warehouse code uniqueness is enforced.</w:t>
            </w:r>
          </w:p>
        </w:tc>
      </w:tr>
      <w:tr>
        <w:tc>
          <w:tcPr>
            <w:tcW w:type="dxa" w:w="5083"/>
            <w:vAlign w:val="top"/>
          </w:tcPr>
          <w:p>
            <w:r>
              <w:t>Integration</w:t>
            </w:r>
          </w:p>
        </w:tc>
        <w:tc>
          <w:tcPr>
            <w:tcW w:type="dxa" w:w="5083"/>
            <w:vAlign w:val="top"/>
          </w:tcPr>
          <w:p>
            <w:r>
              <w:t>Warehouse can be activated/deactivated and inactive state persists.</w:t>
            </w:r>
          </w:p>
        </w:tc>
      </w:tr>
      <w:tr>
        <w:tc>
          <w:tcPr>
            <w:tcW w:type="dxa" w:w="5083"/>
            <w:vAlign w:val="top"/>
          </w:tcPr>
          <w:p>
            <w:r>
              <w:t>Integration</w:t>
            </w:r>
          </w:p>
        </w:tc>
        <w:tc>
          <w:tcPr>
            <w:tcW w:type="dxa" w:w="5083"/>
            <w:vAlign w:val="top"/>
          </w:tcPr>
          <w:p>
            <w:r>
              <w:t>Not-found reads return controlled 404 semantics.</w:t>
            </w:r>
          </w:p>
        </w:tc>
      </w:tr>
      <w:tr>
        <w:tc>
          <w:tcPr>
            <w:tcW w:type="dxa" w:w="5083"/>
            <w:vAlign w:val="top"/>
          </w:tcPr>
          <w:p>
            <w:r>
              <w:t>Integration</w:t>
            </w:r>
          </w:p>
        </w:tc>
        <w:tc>
          <w:tcPr>
            <w:tcW w:type="dxa" w:w="5083"/>
            <w:vAlign w:val="top"/>
          </w:tcPr>
          <w:p>
            <w:r>
              <w:t>Duplicate unique values produce controlled client conflict and do not leak SQL details.</w:t>
            </w:r>
          </w:p>
        </w:tc>
      </w:tr>
      <w:tr>
        <w:tc>
          <w:tcPr>
            <w:tcW w:type="dxa" w:w="5083"/>
          </w:tcPr>
          <w:p>
            <w:r>
              <w:t>Integration</w:t>
            </w:r>
          </w:p>
        </w:tc>
        <w:tc>
          <w:tcPr>
            <w:tcW w:type="dxa" w:w="5083"/>
          </w:tcPr>
          <w:p>
            <w:r>
              <w:t>Product Name is required, persists, is returned by Product response DTOs, and is updated by UpdateProduct.</w:t>
            </w:r>
          </w:p>
        </w:tc>
      </w:tr>
    </w:tbl>
    <w:p>
      <w:pPr>
        <w:pStyle w:val="Heading1"/>
      </w:pPr>
      <w:r>
        <w:t>14. Deferred Tests</w:t>
      </w:r>
    </w:p>
    <w:p>
      <w:r>
        <w:rPr>
          <w:sz w:val="19"/>
        </w:rPr>
        <w:t>Do not fake tests for requirements whose triggering transactions do not exist yet: Product hard-delete after posted transaction (FR-MST-005), inactive Product selection in new transactions (FR-MST-006), historical tax snapshot immutability (FR-MST-017/018), Customer/Supplier hard-delete after posted document (FR-MST-023), credit-limit enforcement during order/posting (FR-MST-024), Warehouse use in stock transactions (FR-MST-027/028). These must be tested in the later owning phase while preserving traceability to the FR-MST requirement.</w:t>
      </w:r>
    </w:p>
    <w:p>
      <w:pPr>
        <w:pStyle w:val="Heading1"/>
      </w:pPr>
      <w:r>
        <w:t>15. Acceptance Criteria</w:t>
      </w:r>
    </w:p>
    <w:p>
      <w:r>
        <w:t>Additional mandatory criteria: MD-AC-018 — Every MD-01 use case uses the explicit command/query input contract and response contract defined in §8A; redundant XRequest DTOs are not required where XCommand/XQuery already represents the input; Domain/EF entities are not used as HTTP DTOs; handlers return the explicit XResponse DTO type where a response DTO is defined. MD-AC-019 — Product.Name is implemented consistently across Domain, create/update command contracts, responses, handlers, EF mapping/migration, validation and automated tests.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ID</w:t>
            </w:r>
          </w:p>
        </w:tc>
        <w:tc>
          <w:tcPr>
            <w:tcW w:type="dxa" w:w="5083"/>
            <w:vAlign w:val="center"/>
          </w:tcPr>
          <w:p>
            <w:r>
              <w:rPr>
                <w:b/>
              </w:rPr>
              <w:t>Acceptance criterion</w:t>
            </w:r>
          </w:p>
        </w:tc>
      </w:tr>
      <w:tr>
        <w:tc>
          <w:tcPr>
            <w:tcW w:type="dxa" w:w="5083"/>
            <w:vAlign w:val="top"/>
          </w:tcPr>
          <w:p>
            <w:r>
              <w:t>MD-AC-001</w:t>
            </w:r>
          </w:p>
        </w:tc>
        <w:tc>
          <w:tcPr>
            <w:tcW w:type="dxa" w:w="5083"/>
            <w:vAlign w:val="top"/>
          </w:tcPr>
          <w:p>
            <w:r>
              <w:t>All FR-MST-001 through FR-MST-028 are either implemented in MD-01 or explicitly deferred only where the parent requirement depends on a later transactional feature.</w:t>
            </w:r>
          </w:p>
        </w:tc>
      </w:tr>
      <w:tr>
        <w:tc>
          <w:tcPr>
            <w:tcW w:type="dxa" w:w="5083"/>
            <w:vAlign w:val="top"/>
          </w:tcPr>
          <w:p>
            <w:r>
              <w:t>MD-AC-002</w:t>
            </w:r>
          </w:p>
        </w:tc>
        <w:tc>
          <w:tcPr>
            <w:tcW w:type="dxa" w:w="5083"/>
            <w:vAlign w:val="top"/>
          </w:tcPr>
          <w:p>
            <w:r>
              <w:t>Category, UoM, TaxCode, Product, Customer, Supplier and Warehouse persist in SQL Server through EF Core mappings/migration.</w:t>
            </w:r>
          </w:p>
        </w:tc>
      </w:tr>
      <w:tr>
        <w:tc>
          <w:tcPr>
            <w:tcW w:type="dxa" w:w="5083"/>
            <w:vAlign w:val="top"/>
          </w:tcPr>
          <w:p>
            <w:r>
              <w:t>MD-AC-003</w:t>
            </w:r>
          </w:p>
        </w:tc>
        <w:tc>
          <w:tcPr>
            <w:tcW w:type="dxa" w:w="5083"/>
            <w:vAlign w:val="top"/>
          </w:tcPr>
          <w:p>
            <w:r>
              <w:t>Product has required references to Category, stock UoM and TaxCode.</w:t>
            </w:r>
          </w:p>
        </w:tc>
      </w:tr>
      <w:tr>
        <w:tc>
          <w:tcPr>
            <w:tcW w:type="dxa" w:w="5083"/>
            <w:vAlign w:val="top"/>
          </w:tcPr>
          <w:p>
            <w:r>
              <w:t>MD-AC-004</w:t>
            </w:r>
          </w:p>
        </w:tc>
        <w:tc>
          <w:tcPr>
            <w:tcW w:type="dxa" w:w="5083"/>
            <w:vAlign w:val="top"/>
          </w:tcPr>
          <w:p>
            <w:r>
              <w:t>Required uniqueness constraints are protected at database level where implementable in current scope.</w:t>
            </w:r>
          </w:p>
        </w:tc>
      </w:tr>
      <w:tr>
        <w:tc>
          <w:tcPr>
            <w:tcW w:type="dxa" w:w="5083"/>
            <w:vAlign w:val="top"/>
          </w:tcPr>
          <w:p>
            <w:r>
              <w:t>MD-AC-005</w:t>
            </w:r>
          </w:p>
        </w:tc>
        <w:tc>
          <w:tcPr>
            <w:tcW w:type="dxa" w:w="5083"/>
            <w:vAlign w:val="top"/>
          </w:tcPr>
          <w:p>
            <w:r>
              <w:t>UAE standard VAT is configured at 5%.</w:t>
            </w:r>
          </w:p>
        </w:tc>
      </w:tr>
      <w:tr>
        <w:tc>
          <w:tcPr>
            <w:tcW w:type="dxa" w:w="5083"/>
            <w:vAlign w:val="top"/>
          </w:tcPr>
          <w:p>
            <w:r>
              <w:t>MD-AC-006</w:t>
            </w:r>
          </w:p>
        </w:tc>
        <w:tc>
          <w:tcPr>
            <w:tcW w:type="dxa" w:w="5083"/>
            <w:vAlign w:val="top"/>
          </w:tcPr>
          <w:p>
            <w:r>
              <w:t>Product supports minimum stock level, reorder quantity, sales price and purchase price.</w:t>
            </w:r>
          </w:p>
        </w:tc>
      </w:tr>
      <w:tr>
        <w:tc>
          <w:tcPr>
            <w:tcW w:type="dxa" w:w="5083"/>
            <w:vAlign w:val="top"/>
          </w:tcPr>
          <w:p>
            <w:r>
              <w:t>MD-AC-007</w:t>
            </w:r>
          </w:p>
        </w:tc>
        <w:tc>
          <w:tcPr>
            <w:tcW w:type="dxa" w:w="5083"/>
            <w:vAlign w:val="top"/>
          </w:tcPr>
          <w:p>
            <w:r>
              <w:t>Customer supports billing/shipping address, phone, email, TRN and configurable credit limit.</w:t>
            </w:r>
          </w:p>
        </w:tc>
      </w:tr>
      <w:tr>
        <w:tc>
          <w:tcPr>
            <w:tcW w:type="dxa" w:w="5083"/>
            <w:vAlign w:val="top"/>
          </w:tcPr>
          <w:p>
            <w:r>
              <w:t>MD-AC-008</w:t>
            </w:r>
          </w:p>
        </w:tc>
        <w:tc>
          <w:tcPr>
            <w:tcW w:type="dxa" w:w="5083"/>
            <w:vAlign w:val="top"/>
          </w:tcPr>
          <w:p>
            <w:r>
              <w:t>Supplier supports address, contact information, payment terms and TRN.</w:t>
            </w:r>
          </w:p>
        </w:tc>
      </w:tr>
      <w:tr>
        <w:tc>
          <w:tcPr>
            <w:tcW w:type="dxa" w:w="5083"/>
            <w:vAlign w:val="top"/>
          </w:tcPr>
          <w:p>
            <w:r>
              <w:t>MD-AC-009</w:t>
            </w:r>
          </w:p>
        </w:tc>
        <w:tc>
          <w:tcPr>
            <w:tcW w:type="dxa" w:w="5083"/>
            <w:vAlign w:val="top"/>
          </w:tcPr>
          <w:p>
            <w:r>
              <w:t>Product and Warehouse support activation/deactivation; TaxCode supports active status.</w:t>
            </w:r>
          </w:p>
        </w:tc>
      </w:tr>
      <w:tr>
        <w:tc>
          <w:tcPr>
            <w:tcW w:type="dxa" w:w="5083"/>
            <w:vAlign w:val="top"/>
          </w:tcPr>
          <w:p>
            <w:r>
              <w:t>MD-AC-010</w:t>
            </w:r>
          </w:p>
        </w:tc>
        <w:tc>
          <w:tcPr>
            <w:tcW w:type="dxa" w:w="5083"/>
            <w:vAlign w:val="top"/>
          </w:tcPr>
          <w:p>
            <w:r>
              <w:t>Referenced Category cannot be hard-deleted.</w:t>
            </w:r>
          </w:p>
        </w:tc>
      </w:tr>
      <w:tr>
        <w:tc>
          <w:tcPr>
            <w:tcW w:type="dxa" w:w="5083"/>
            <w:vAlign w:val="top"/>
          </w:tcPr>
          <w:p>
            <w:r>
              <w:t>MD-AC-011</w:t>
            </w:r>
          </w:p>
        </w:tc>
        <w:tc>
          <w:tcPr>
            <w:tcW w:type="dxa" w:w="5083"/>
            <w:vAlign w:val="top"/>
          </w:tcPr>
          <w:p>
            <w:r>
              <w:t>Master-data state changes use commands/handlers and reads use queries/handlers.</w:t>
            </w:r>
          </w:p>
        </w:tc>
      </w:tr>
      <w:tr>
        <w:tc>
          <w:tcPr>
            <w:tcW w:type="dxa" w:w="5083"/>
            <w:vAlign w:val="top"/>
          </w:tcPr>
          <w:p>
            <w:r>
              <w:t>MD-AC-012</w:t>
            </w:r>
          </w:p>
        </w:tc>
        <w:tc>
          <w:tcPr>
            <w:tcW w:type="dxa" w:w="5083"/>
            <w:vAlign w:val="top"/>
          </w:tcPr>
          <w:p>
            <w:r>
              <w:t>Validation and API errors use BF-01 cross-cutting behavior.</w:t>
            </w:r>
          </w:p>
        </w:tc>
      </w:tr>
      <w:tr>
        <w:tc>
          <w:tcPr>
            <w:tcW w:type="dxa" w:w="5083"/>
            <w:vAlign w:val="top"/>
          </w:tcPr>
          <w:p>
            <w:r>
              <w:t>MD-AC-013</w:t>
            </w:r>
          </w:p>
        </w:tc>
        <w:tc>
          <w:tcPr>
            <w:tcW w:type="dxa" w:w="5083"/>
            <w:vAlign w:val="top"/>
          </w:tcPr>
          <w:p>
            <w:r>
              <w:t>No Inventory/Purchasing/Billing business workflow has been implemented.</w:t>
            </w:r>
          </w:p>
        </w:tc>
      </w:tr>
      <w:tr>
        <w:tc>
          <w:tcPr>
            <w:tcW w:type="dxa" w:w="5083"/>
            <w:vAlign w:val="top"/>
          </w:tcPr>
          <w:p>
            <w:r>
              <w:t>MD-AC-014</w:t>
            </w:r>
          </w:p>
        </w:tc>
        <w:tc>
          <w:tcPr>
            <w:tcW w:type="dxa" w:w="5083"/>
            <w:vAlign w:val="top"/>
          </w:tcPr>
          <w:p>
            <w:r>
              <w:t>No UoM conversion feature has been implemented.</w:t>
            </w:r>
          </w:p>
        </w:tc>
      </w:tr>
      <w:tr>
        <w:tc>
          <w:tcPr>
            <w:tcW w:type="dxa" w:w="5083"/>
            <w:vAlign w:val="top"/>
          </w:tcPr>
          <w:p>
            <w:r>
              <w:t>MD-AC-015</w:t>
            </w:r>
          </w:p>
        </w:tc>
        <w:tc>
          <w:tcPr>
            <w:tcW w:type="dxa" w:w="5083"/>
            <w:vAlign w:val="top"/>
          </w:tcPr>
          <w:p>
            <w:r>
              <w:t>No speculative Company/branch tenancy module has been invented to fill an SRS gap.</w:t>
            </w:r>
          </w:p>
        </w:tc>
      </w:tr>
      <w:tr>
        <w:tc>
          <w:tcPr>
            <w:tcW w:type="dxa" w:w="5083"/>
            <w:vAlign w:val="top"/>
          </w:tcPr>
          <w:p>
            <w:r>
              <w:t>MD-AC-016</w:t>
            </w:r>
          </w:p>
        </w:tc>
        <w:tc>
          <w:tcPr>
            <w:tcW w:type="dxa" w:w="5083"/>
            <w:vAlign w:val="top"/>
          </w:tcPr>
          <w:p>
            <w:r>
              <w:t>All BF-01 tests continue to pass and all MD-01 tests pass.</w:t>
            </w:r>
          </w:p>
        </w:tc>
      </w:tr>
      <w:tr>
        <w:tc>
          <w:tcPr>
            <w:tcW w:type="dxa" w:w="5083"/>
            <w:vAlign w:val="top"/>
          </w:tcPr>
          <w:p>
            <w:r>
              <w:t>MD-AC-017</w:t>
            </w:r>
          </w:p>
        </w:tc>
        <w:tc>
          <w:tcPr>
            <w:tcW w:type="dxa" w:w="5083"/>
            <w:vAlign w:val="top"/>
          </w:tcPr>
          <w:p>
            <w:r>
              <w:t>Solution builds without errors and no real secrets are committed.</w:t>
            </w:r>
          </w:p>
        </w:tc>
      </w:tr>
      <w:tr>
        <w:tc>
          <w:tcPr>
            <w:tcW w:type="dxa" w:w="5083"/>
          </w:tcPr>
          <w:p>
            <w:r>
              <w:t>MD-AC-018</w:t>
            </w:r>
          </w:p>
        </w:tc>
        <w:tc>
          <w:tcPr>
            <w:tcW w:type="dxa" w:w="5083"/>
          </w:tcPr>
          <w:p>
            <w:r>
              <w:t>Every MD-01 use case uses the explicit command/query input contract and response contract defined in §8A; redundant XRequest DTOs are not required where XCommand/XQuery already represents the input; Domain/EF entities are not used as HTTP DTOs; handlers return the explicit XResponse DTO type where a response DTO is defined.</w:t>
            </w:r>
          </w:p>
        </w:tc>
      </w:tr>
      <w:tr>
        <w:tc>
          <w:tcPr>
            <w:tcW w:type="dxa" w:w="5083"/>
          </w:tcPr>
          <w:p>
            <w:r>
              <w:t>MD-AC-019</w:t>
            </w:r>
          </w:p>
        </w:tc>
        <w:tc>
          <w:tcPr>
            <w:tcW w:type="dxa" w:w="5083"/>
          </w:tcPr>
          <w:p>
            <w:r>
              <w:t>Product.Name is required and is implemented consistently across Domain, create/update command contracts, response DTOs, handlers, EF mapping/migration, validation and automated tests.</w:t>
            </w:r>
          </w:p>
        </w:tc>
      </w:tr>
    </w:tbl>
    <w:p>
      <w:pPr>
        <w:pStyle w:val="Heading1"/>
      </w:pPr>
      <w:r>
        <w:t>16. Requirement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MD-01 area</w:t>
            </w:r>
          </w:p>
        </w:tc>
        <w:tc>
          <w:tcPr>
            <w:tcW w:type="dxa" w:w="5083"/>
            <w:vAlign w:val="center"/>
          </w:tcPr>
          <w:p>
            <w:r>
              <w:rPr>
                <w:b/>
              </w:rPr>
              <w:t>Parent requirement</w:t>
            </w:r>
          </w:p>
        </w:tc>
      </w:tr>
      <w:tr>
        <w:tc>
          <w:tcPr>
            <w:tcW w:type="dxa" w:w="5083"/>
            <w:vAlign w:val="top"/>
          </w:tcPr>
          <w:p>
            <w:r>
              <w:t>Product CRUD/lifecycle</w:t>
            </w:r>
          </w:p>
        </w:tc>
        <w:tc>
          <w:tcPr>
            <w:tcW w:type="dxa" w:w="5083"/>
            <w:vAlign w:val="top"/>
          </w:tcPr>
          <w:p>
            <w:r>
              <w:t>FR-MST-001, 005, 006</w:t>
            </w:r>
          </w:p>
        </w:tc>
      </w:tr>
      <w:tr>
        <w:tc>
          <w:tcPr>
            <w:tcW w:type="dxa" w:w="5083"/>
            <w:vAlign w:val="top"/>
          </w:tcPr>
          <w:p>
            <w:r>
              <w:t>Product code uniqueness</w:t>
            </w:r>
          </w:p>
        </w:tc>
        <w:tc>
          <w:tcPr>
            <w:tcW w:type="dxa" w:w="5083"/>
            <w:vAlign w:val="top"/>
          </w:tcPr>
          <w:p>
            <w:r>
              <w:t>FR-MST-002</w:t>
            </w:r>
          </w:p>
        </w:tc>
      </w:tr>
      <w:tr>
        <w:tc>
          <w:tcPr>
            <w:tcW w:type="dxa" w:w="5083"/>
            <w:vAlign w:val="top"/>
          </w:tcPr>
          <w:p>
            <w:r>
              <w:t>Product references</w:t>
            </w:r>
          </w:p>
        </w:tc>
        <w:tc>
          <w:tcPr>
            <w:tcW w:type="dxa" w:w="5083"/>
            <w:vAlign w:val="top"/>
          </w:tcPr>
          <w:p>
            <w:r>
              <w:t>FR-MST-003</w:t>
            </w:r>
          </w:p>
        </w:tc>
      </w:tr>
      <w:tr>
        <w:tc>
          <w:tcPr>
            <w:tcW w:type="dxa" w:w="5083"/>
            <w:vAlign w:val="top"/>
          </w:tcPr>
          <w:p>
            <w:r>
              <w:t>Min/reorder</w:t>
            </w:r>
          </w:p>
        </w:tc>
        <w:tc>
          <w:tcPr>
            <w:tcW w:type="dxa" w:w="5083"/>
            <w:vAlign w:val="top"/>
          </w:tcPr>
          <w:p>
            <w:r>
              <w:t>FR-MST-004</w:t>
            </w:r>
          </w:p>
        </w:tc>
      </w:tr>
      <w:tr>
        <w:tc>
          <w:tcPr>
            <w:tcW w:type="dxa" w:w="5083"/>
            <w:vAlign w:val="top"/>
          </w:tcPr>
          <w:p>
            <w:r>
              <w:t>Prices</w:t>
            </w:r>
          </w:p>
        </w:tc>
        <w:tc>
          <w:tcPr>
            <w:tcW w:type="dxa" w:w="5083"/>
            <w:vAlign w:val="top"/>
          </w:tcPr>
          <w:p>
            <w:r>
              <w:t>FR-MST-007</w:t>
            </w:r>
          </w:p>
        </w:tc>
      </w:tr>
      <w:tr>
        <w:tc>
          <w:tcPr>
            <w:tcW w:type="dxa" w:w="5083"/>
            <w:vAlign w:val="top"/>
          </w:tcPr>
          <w:p>
            <w:r>
              <w:t>Categories</w:t>
            </w:r>
          </w:p>
        </w:tc>
        <w:tc>
          <w:tcPr>
            <w:tcW w:type="dxa" w:w="5083"/>
            <w:vAlign w:val="top"/>
          </w:tcPr>
          <w:p>
            <w:r>
              <w:t>FR-MST-008–010</w:t>
            </w:r>
          </w:p>
        </w:tc>
      </w:tr>
      <w:tr>
        <w:tc>
          <w:tcPr>
            <w:tcW w:type="dxa" w:w="5083"/>
            <w:vAlign w:val="top"/>
          </w:tcPr>
          <w:p>
            <w:r>
              <w:t>UoM</w:t>
            </w:r>
          </w:p>
        </w:tc>
        <w:tc>
          <w:tcPr>
            <w:tcW w:type="dxa" w:w="5083"/>
            <w:vAlign w:val="top"/>
          </w:tcPr>
          <w:p>
            <w:r>
              <w:t>FR-MST-011–014</w:t>
            </w:r>
          </w:p>
        </w:tc>
      </w:tr>
      <w:tr>
        <w:tc>
          <w:tcPr>
            <w:tcW w:type="dxa" w:w="5083"/>
            <w:vAlign w:val="top"/>
          </w:tcPr>
          <w:p>
            <w:r>
              <w:t>TaxCode/UAE VAT</w:t>
            </w:r>
          </w:p>
        </w:tc>
        <w:tc>
          <w:tcPr>
            <w:tcW w:type="dxa" w:w="5083"/>
            <w:vAlign w:val="top"/>
          </w:tcPr>
          <w:p>
            <w:r>
              <w:t>FR-MST-015–018</w:t>
            </w:r>
          </w:p>
        </w:tc>
      </w:tr>
      <w:tr>
        <w:tc>
          <w:tcPr>
            <w:tcW w:type="dxa" w:w="5083"/>
            <w:vAlign w:val="top"/>
          </w:tcPr>
          <w:p>
            <w:r>
              <w:t>Customer/Supplier</w:t>
            </w:r>
          </w:p>
        </w:tc>
        <w:tc>
          <w:tcPr>
            <w:tcW w:type="dxa" w:w="5083"/>
            <w:vAlign w:val="top"/>
          </w:tcPr>
          <w:p>
            <w:r>
              <w:t>FR-MST-019–024</w:t>
            </w:r>
          </w:p>
        </w:tc>
      </w:tr>
      <w:tr>
        <w:tc>
          <w:tcPr>
            <w:tcW w:type="dxa" w:w="5083"/>
            <w:vAlign w:val="top"/>
          </w:tcPr>
          <w:p>
            <w:r>
              <w:t>Warehouse</w:t>
            </w:r>
          </w:p>
        </w:tc>
        <w:tc>
          <w:tcPr>
            <w:tcW w:type="dxa" w:w="5083"/>
            <w:vAlign w:val="top"/>
          </w:tcPr>
          <w:p>
            <w:r>
              <w:t>FR-MST-025–028</w:t>
            </w:r>
          </w:p>
        </w:tc>
      </w:tr>
      <w:tr>
        <w:tc>
          <w:tcPr>
            <w:tcW w:type="dxa" w:w="5083"/>
          </w:tcPr>
          <w:p>
            <w:r>
              <w:t>Product Name</w:t>
            </w:r>
          </w:p>
        </w:tc>
        <w:tc>
          <w:tcPr>
            <w:tcW w:type="dxa" w:w="5083"/>
          </w:tcPr>
          <w:p>
            <w:r>
              <w:t>Approved MD-01 project-level extension (parent SRS silent; does not replace FR-MST-001–007)</w:t>
            </w:r>
          </w:p>
        </w:tc>
      </w:tr>
    </w:tbl>
    <w:p>
      <w:pPr>
        <w:pStyle w:val="Heading1"/>
      </w:pPr>
      <w:r>
        <w:t>17. Spec-Driven Implementation Workflow</w:t>
      </w:r>
    </w:p>
    <w:p>
      <w:pPr>
        <w:pStyle w:val="ListNumber"/>
      </w:pPr>
      <w:r>
        <w:t>Read the parent SRS Master Data section and MD-01 completely.</w:t>
      </w:r>
    </w:p>
    <w:p>
      <w:pPr>
        <w:pStyle w:val="ListNumber"/>
      </w:pPr>
      <w:r>
        <w:t>Inspect the current BF-01 repository before editing.</w:t>
      </w:r>
    </w:p>
    <w:p>
      <w:pPr>
        <w:pStyle w:val="ListNumber"/>
      </w:pPr>
      <w:r>
        <w:t>Create an implementation checklist mapping MD-AC-001 through MD-AC-019.</w:t>
      </w:r>
    </w:p>
    <w:p>
      <w:pPr>
        <w:pStyle w:val="ListNumber"/>
      </w:pPr>
      <w:r>
        <w:t>Implement in dependency order: Category → UoM → TaxCode → Product → Customer → Supplier → Warehouse.</w:t>
      </w:r>
    </w:p>
    <w:p>
      <w:pPr>
        <w:pStyle w:val="ListNumber"/>
      </w:pPr>
      <w:r>
        <w:t>Add/update automated tests alongside each slice.</w:t>
      </w:r>
    </w:p>
    <w:p>
      <w:pPr>
        <w:pStyle w:val="ListNumber"/>
      </w:pPr>
      <w:r>
        <w:t>Create and inspect the EF Core migration; verify it contains only MD-01 schema changes.</w:t>
      </w:r>
    </w:p>
    <w:p>
      <w:pPr>
        <w:pStyle w:val="ListNumber"/>
      </w:pPr>
      <w:r>
        <w:t>Run restore, build and the complete test suite, including BF-01 regression tests.</w:t>
      </w:r>
    </w:p>
    <w:p>
      <w:pPr>
        <w:pStyle w:val="ListNumber"/>
      </w:pPr>
      <w:r>
        <w:t>Fix failures without broadening scope.</w:t>
      </w:r>
    </w:p>
    <w:p>
      <w:pPr>
        <w:pStyle w:val="ListNumber"/>
      </w:pPr>
      <w:r>
        <w:t>Return a completion report mapping acceptance criteria to code/tests and listing deferred parent requirements with their reason.</w:t>
      </w:r>
    </w:p>
    <w:p>
      <w:pPr>
        <w:pStyle w:val="Heading1"/>
      </w:pPr>
      <w:r>
        <w:t>18. Non-Negotiable Guardrails</w:t>
      </w:r>
    </w:p>
    <w:p>
      <w:pPr>
        <w:pStyle w:val="ListBullet"/>
      </w:pPr>
      <w:r>
        <w:t>Parent SRS wins over MD-01 if a conflict exists.</w:t>
      </w:r>
    </w:p>
    <w:p>
      <w:pPr>
        <w:pStyle w:val="ListBullet"/>
      </w:pPr>
      <w:r>
        <w:t>Do not invent requirements, fields, workflows or legal validation rules merely because they are common in ERP products. The sole approved MD-01 project-level field extension is Product.Name, explicitly defined by this specification.</w:t>
      </w:r>
    </w:p>
    <w:p>
      <w:pPr>
        <w:pStyle w:val="ListBullet"/>
      </w:pPr>
      <w:r>
        <w:t>Do not implement stock quantities in Product; inventory state belongs to Inventory.</w:t>
      </w:r>
    </w:p>
    <w:p>
      <w:pPr>
        <w:pStyle w:val="ListBullet"/>
      </w:pPr>
      <w:r>
        <w:t>Do not calculate invoice VAT in Master Data; only manage TaxCode.</w:t>
      </w:r>
    </w:p>
    <w:p>
      <w:pPr>
        <w:pStyle w:val="ListBullet"/>
      </w:pPr>
      <w:r>
        <w:t>Do not enforce customer credit limit through fake sales logic; store it for later use.</w:t>
      </w:r>
    </w:p>
    <w:p>
      <w:pPr>
        <w:pStyle w:val="ListBullet"/>
      </w:pPr>
      <w:r>
        <w:t>Do not implement UoM conversions.</w:t>
      </w:r>
    </w:p>
    <w:p>
      <w:pPr>
        <w:pStyle w:val="ListBullet"/>
      </w:pPr>
      <w:r>
        <w:t>Do not add generic repository/unit-of-work layers unless already required by the accepted foundation.</w:t>
      </w:r>
    </w:p>
    <w:p>
      <w:pPr>
        <w:pStyle w:val="ListBullet"/>
      </w:pPr>
      <w:r>
        <w:t>Do not hard-delete data in ways that make later historical requirements impossible.</w:t>
      </w:r>
    </w:p>
    <w:p>
      <w:pPr>
        <w:pStyle w:val="ListBullet"/>
      </w:pPr>
      <w:r>
        <w:t>Do not weaken database constraints in favor of application-only checks.</w:t>
      </w:r>
    </w:p>
    <w:p>
      <w:pPr>
        <w:pStyle w:val="ListBullet"/>
      </w:pPr>
      <w:r>
        <w:t>Do not bypass CQRS/vertical slices by putting business operations directly in endpoints.</w:t>
      </w:r>
    </w:p>
    <w:p>
      <w:pPr>
        <w:pStyle w:val="ListBullet"/>
      </w:pPr>
      <w:r>
        <w:t>Do not modify BF-01 architecture unless required to satisfy MD-01; document any necessary change.</w:t>
      </w:r>
    </w:p>
    <w:p>
      <w:pPr>
        <w:pStyle w:val="Heading1"/>
      </w:pPr>
      <w:r>
        <w:t>19. Definition of Done</w:t>
      </w:r>
    </w:p>
    <w:p>
      <w:pPr>
        <w:pStyle w:val="ListBullet"/>
      </w:pPr>
      <w:r>
        <w:t>All command/query input contracts and response DTO contracts in §8A are implemented and covered by relevant endpoint/application tests.</w:t>
      </w:r>
    </w:p>
    <w:p>
      <w:pPr>
        <w:pStyle w:val="ListBullet"/>
      </w:pPr>
      <w:r>
        <w:t>Product.Name is present and verified end-to-end in Domain, Product command/query contracts and response DTOs, persistence/migration, validation and tests.</w:t>
      </w:r>
    </w:p>
    <w:p>
      <w:pPr>
        <w:pStyle w:val="ListBullet"/>
      </w:pPr>
      <w:r>
        <w:t>All MD-AC acceptance criteria pass.</w:t>
      </w:r>
    </w:p>
    <w:p>
      <w:pPr>
        <w:pStyle w:val="ListBullet"/>
      </w:pPr>
      <w:r>
        <w:t>All required MD-01 tests pass and BF-01 regression tests remain green.</w:t>
      </w:r>
    </w:p>
    <w:p>
      <w:pPr>
        <w:pStyle w:val="ListBullet"/>
      </w:pPr>
      <w:r>
        <w:t>SQL Server migration is generated and contains only approved Master Data schema.</w:t>
      </w:r>
    </w:p>
    <w:p>
      <w:pPr>
        <w:pStyle w:val="ListBullet"/>
      </w:pPr>
      <w:r>
        <w:t>API CRUD/query behavior works for all seven master-data areas.</w:t>
      </w:r>
    </w:p>
    <w:p>
      <w:pPr>
        <w:pStyle w:val="ListBullet"/>
      </w:pPr>
      <w:r>
        <w:t>UAE VAT 5% seed/configuration is deterministic.</w:t>
      </w:r>
    </w:p>
    <w:p>
      <w:pPr>
        <w:pStyle w:val="ListBullet"/>
      </w:pPr>
      <w:r>
        <w:t>No deferred business workflow is present.</w:t>
      </w:r>
    </w:p>
    <w:p>
      <w:pPr>
        <w:pStyle w:val="ListBullet"/>
      </w:pPr>
      <w:r>
        <w:t>Completion report documents files changed, migration name, tests run, traceability and legitimate deferrals.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JTradeERP Master Data — MD-01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