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JTradeERP - Phase 4</w:t>
        <w:br/>
        <w:t>Inventory Engine</w:t>
      </w:r>
    </w:p>
    <w:p>
      <w:pPr>
        <w:jc w:val="center"/>
      </w:pPr>
      <w:r>
        <w:rPr>
          <w:b/>
        </w:rPr>
        <w:t>INV-01 Final - Spec-Driven Development Specification</w:t>
      </w:r>
    </w:p>
    <w:p>
      <w:pPr>
        <w:jc w:val="center"/>
      </w:pPr>
      <w:r>
        <w:t>Parent authority: Software Requirements &amp; Technical Specification - Basic ERP - Billing and Stock Management</w:t>
      </w:r>
    </w:p>
    <w:p>
      <w:pPr>
        <w:jc w:val="center"/>
      </w:pPr>
      <w:r>
        <w:t>Prerequisites: BF-01 complete; MD-01 Final v3 complete; ARP-01 Final v3 complete</w:t>
      </w:r>
    </w:p>
    <w:p>
      <w:pPr>
        <w:pStyle w:val="Heading1"/>
      </w:pPr>
      <w:r>
        <w:t>1. Purpose, Authority and Phase Objective</w:t>
      </w:r>
    </w:p>
    <w:p>
      <w:r>
        <w:t>This document is the implementation contract for Phase 4 of JTradeERP: the Inventory Engine. It is derived from the parent Software Requirements &amp; Technical Specification and follows the spec-driven conventions established by MD-01 Final v3 and ARP-01 Final v3.</w:t>
      </w:r>
    </w:p>
    <w:p>
      <w:r>
        <w:t>The parent SRS is authoritative. This child specification makes inventory behavior executable and testable without inventing later Billing, Purchasing, Reporting, Number Series, or frontend functionality.</w:t>
      </w:r>
    </w:p>
    <w:p>
      <w:r>
        <w:t>Phase objective: implement the append-only stock ledger, per-product/per-warehouse balances, weighted-average valuation state, opening balances, controlled adjustments and reversals, warehouse transfers, SQL Server rowversion concurrency, negative-stock control, reorder alerts, idempotent stock posting, inventory authorization, and audit traceability required for inventory operations.</w:t>
      </w:r>
    </w:p>
    <w:p>
      <w:pPr>
        <w:pStyle w:val="Heading1"/>
      </w:pPr>
      <w:r>
        <w:t>2. Accepted Prerequisites and Baseline</w:t>
      </w:r>
    </w:p>
    <w:p>
      <w:pPr>
        <w:pStyle w:val="ListBullet"/>
      </w:pPr>
      <w:r>
        <w:t>BF-01 backend foundation is complete and must not be redesigned.</w:t>
      </w:r>
    </w:p>
    <w:p>
      <w:pPr>
        <w:pStyle w:val="ListBullet"/>
      </w:pPr>
      <w:r>
        <w:t>MD-01 Final v3 is complete. Product, Warehouse and related master-data contracts remain authoritative.</w:t>
      </w:r>
    </w:p>
    <w:p>
      <w:pPr>
        <w:pStyle w:val="ListBullet"/>
      </w:pPr>
      <w:r>
        <w:t>ARP-01 Final v3 is complete. JWT authentication, SQL-backed permission/capability authorization, ICurrentUserService, security audit infrastructure and .RequireAuthorization(...) conventions are prerequisites and must be reused.</w:t>
      </w:r>
    </w:p>
    <w:p>
      <w:pPr>
        <w:pStyle w:val="ListBullet"/>
      </w:pPr>
      <w:r>
        <w:t>Latest reported pre-Phase-4 solution baseline: 58 passed, 0 failed, 0 skipped; 0 build warnings/errors; EF reported no pending model changes.</w:t>
      </w:r>
    </w:p>
    <w:p>
      <w:pPr>
        <w:pStyle w:val="ListBullet"/>
      </w:pPr>
      <w:r>
        <w:t>Phase 4 must establish its own pre-change build/test baseline from the actual repository before implementation.</w:t>
      </w:r>
    </w:p>
    <w:p>
      <w:pPr>
        <w:pStyle w:val="Heading1"/>
      </w:pPr>
      <w:r>
        <w:t>3. Parent SRS Requirements Owned by INV-01</w:t>
      </w:r>
    </w:p>
    <w:tbl>
      <w:tblPr>
        <w:tblStyle w:val="TableGrid"/>
        <w:tblW w:type="auto" w:w="0"/>
        <w:jc w:val="center"/>
        <w:tblLook w:firstColumn="1" w:firstRow="1" w:lastColumn="0" w:lastRow="0" w:noHBand="0" w:noVBand="1" w:val="04A0"/>
      </w:tblPr>
      <w:tblGrid>
        <w:gridCol w:w="5227"/>
        <w:gridCol w:w="5227"/>
      </w:tblGrid>
      <w:tr>
        <w:tc>
          <w:tcPr>
            <w:tcW w:type="dxa" w:w="5227"/>
          </w:tcPr>
          <w:p>
            <w:r>
              <w:rPr>
                <w:b/>
              </w:rPr>
              <w:t>ID</w:t>
            </w:r>
          </w:p>
        </w:tc>
        <w:tc>
          <w:tcPr>
            <w:tcW w:type="dxa" w:w="5227"/>
          </w:tcPr>
          <w:p>
            <w:r>
              <w:rPr>
                <w:b/>
              </w:rPr>
              <w:t>Binding parent requirement</w:t>
            </w:r>
          </w:p>
        </w:tc>
      </w:tr>
      <w:tr>
        <w:tc>
          <w:tcPr>
            <w:tcW w:type="dxa" w:w="5227"/>
            <w:vAlign w:val="top"/>
          </w:tcPr>
          <w:p>
            <w:r>
              <w:t>FR-STK-001</w:t>
            </w:r>
          </w:p>
        </w:tc>
        <w:tc>
          <w:tcPr>
            <w:tcW w:type="dxa" w:w="5227"/>
            <w:vAlign w:val="top"/>
          </w:tcPr>
          <w:p>
            <w:r>
              <w:t>Maintain an append-only stock ledger.</w:t>
            </w:r>
          </w:p>
        </w:tc>
      </w:tr>
      <w:tr>
        <w:tc>
          <w:tcPr>
            <w:tcW w:type="dxa" w:w="5227"/>
            <w:vAlign w:val="top"/>
          </w:tcPr>
          <w:p>
            <w:r>
              <w:t>FR-STK-002</w:t>
            </w:r>
          </w:p>
        </w:tc>
        <w:tc>
          <w:tcPr>
            <w:tcW w:type="dxa" w:w="5227"/>
            <w:vAlign w:val="top"/>
          </w:tcPr>
          <w:p>
            <w:r>
              <w:t>Perform stock corrections through reversal entries only.</w:t>
            </w:r>
          </w:p>
        </w:tc>
      </w:tr>
      <w:tr>
        <w:tc>
          <w:tcPr>
            <w:tcW w:type="dxa" w:w="5227"/>
            <w:vAlign w:val="top"/>
          </w:tcPr>
          <w:p>
            <w:r>
              <w:t>FR-STK-003</w:t>
            </w:r>
          </w:p>
        </w:tc>
        <w:tc>
          <w:tcPr>
            <w:tcW w:type="dxa" w:w="5227"/>
            <w:vAlign w:val="top"/>
          </w:tcPr>
          <w:p>
            <w:r>
              <w:t>Stock balance tracks QtyOnHand, QtyReserved and available quantity.</w:t>
            </w:r>
          </w:p>
        </w:tc>
      </w:tr>
      <w:tr>
        <w:tc>
          <w:tcPr>
            <w:tcW w:type="dxa" w:w="5227"/>
            <w:vAlign w:val="top"/>
          </w:tcPr>
          <w:p>
            <w:r>
              <w:t>FR-STK-004</w:t>
            </w:r>
          </w:p>
        </w:tc>
        <w:tc>
          <w:tcPr>
            <w:tcW w:type="dxa" w:w="5227"/>
            <w:vAlign w:val="top"/>
          </w:tcPr>
          <w:p>
            <w:r>
              <w:t>Available quantity = QtyOnHand - QtyReserved.</w:t>
            </w:r>
          </w:p>
        </w:tc>
      </w:tr>
      <w:tr>
        <w:tc>
          <w:tcPr>
            <w:tcW w:type="dxa" w:w="5227"/>
            <w:vAlign w:val="top"/>
          </w:tcPr>
          <w:p>
            <w:r>
              <w:t>FR-STK-005</w:t>
            </w:r>
          </w:p>
        </w:tc>
        <w:tc>
          <w:tcPr>
            <w:tcW w:type="dxa" w:w="5227"/>
            <w:vAlign w:val="top"/>
          </w:tcPr>
          <w:p>
            <w:r>
              <w:t>Use weighted average cost for inventory valuation.</w:t>
            </w:r>
          </w:p>
        </w:tc>
      </w:tr>
      <w:tr>
        <w:tc>
          <w:tcPr>
            <w:tcW w:type="dxa" w:w="5227"/>
            <w:vAlign w:val="top"/>
          </w:tcPr>
          <w:p>
            <w:r>
              <w:t>FR-STK-006</w:t>
            </w:r>
          </w:p>
        </w:tc>
        <w:tc>
          <w:tcPr>
            <w:tcW w:type="dxa" w:w="5227"/>
            <w:vAlign w:val="top"/>
          </w:tcPr>
          <w:p>
            <w:r>
              <w:t>Posting a sales invoice creates a stock issue ledger entry atomically.</w:t>
            </w:r>
          </w:p>
        </w:tc>
      </w:tr>
      <w:tr>
        <w:tc>
          <w:tcPr>
            <w:tcW w:type="dxa" w:w="5227"/>
            <w:vAlign w:val="top"/>
          </w:tcPr>
          <w:p>
            <w:r>
              <w:t>FR-STK-007</w:t>
            </w:r>
          </w:p>
        </w:tc>
        <w:tc>
          <w:tcPr>
            <w:tcW w:type="dxa" w:w="5227"/>
            <w:vAlign w:val="top"/>
          </w:tcPr>
          <w:p>
            <w:r>
              <w:t>Posting a GRN creates a stock receipt ledger entry atomically.</w:t>
            </w:r>
          </w:p>
        </w:tc>
      </w:tr>
      <w:tr>
        <w:tc>
          <w:tcPr>
            <w:tcW w:type="dxa" w:w="5227"/>
            <w:vAlign w:val="top"/>
          </w:tcPr>
          <w:p>
            <w:r>
              <w:t>FR-STK-008</w:t>
            </w:r>
          </w:p>
        </w:tc>
        <w:tc>
          <w:tcPr>
            <w:tcW w:type="dxa" w:w="5227"/>
            <w:vAlign w:val="top"/>
          </w:tcPr>
          <w:p>
            <w:r>
              <w:t>Stock adjustments require a reason code and authorization permission.</w:t>
            </w:r>
          </w:p>
        </w:tc>
      </w:tr>
      <w:tr>
        <w:tc>
          <w:tcPr>
            <w:tcW w:type="dxa" w:w="5227"/>
            <w:vAlign w:val="top"/>
          </w:tcPr>
          <w:p>
            <w:r>
              <w:t>FR-STK-009</w:t>
            </w:r>
          </w:p>
        </w:tc>
        <w:tc>
          <w:tcPr>
            <w:tcW w:type="dxa" w:w="5227"/>
            <w:vAlign w:val="top"/>
          </w:tcPr>
          <w:p>
            <w:r>
              <w:t>Opening balances are posted as controlled stock receipt entries.</w:t>
            </w:r>
          </w:p>
        </w:tc>
      </w:tr>
      <w:tr>
        <w:tc>
          <w:tcPr>
            <w:tcW w:type="dxa" w:w="5227"/>
            <w:vAlign w:val="top"/>
          </w:tcPr>
          <w:p>
            <w:r>
              <w:t>FR-STK-010</w:t>
            </w:r>
          </w:p>
        </w:tc>
        <w:tc>
          <w:tcPr>
            <w:tcW w:type="dxa" w:w="5227"/>
            <w:vAlign w:val="top"/>
          </w:tcPr>
          <w:p>
            <w:r>
              <w:t>Transfers create paired OUT and IN entries atomically.</w:t>
            </w:r>
          </w:p>
        </w:tc>
      </w:tr>
      <w:tr>
        <w:tc>
          <w:tcPr>
            <w:tcW w:type="dxa" w:w="5227"/>
            <w:vAlign w:val="top"/>
          </w:tcPr>
          <w:p>
            <w:r>
              <w:t>FR-STK-011</w:t>
            </w:r>
          </w:p>
        </w:tc>
        <w:tc>
          <w:tcPr>
            <w:tcW w:type="dxa" w:w="5227"/>
            <w:vAlign w:val="top"/>
          </w:tcPr>
          <w:p>
            <w:r>
              <w:t>Use SQL Server rowversion for stock-balance concurrency control.</w:t>
            </w:r>
          </w:p>
        </w:tc>
      </w:tr>
      <w:tr>
        <w:tc>
          <w:tcPr>
            <w:tcW w:type="dxa" w:w="5227"/>
            <w:vAlign w:val="top"/>
          </w:tcPr>
          <w:p>
            <w:r>
              <w:t>FR-STK-012</w:t>
            </w:r>
          </w:p>
        </w:tc>
        <w:tc>
          <w:tcPr>
            <w:tcW w:type="dxa" w:w="5227"/>
            <w:vAlign w:val="top"/>
          </w:tcPr>
          <w:p>
            <w:r>
              <w:t>Block negative stock by default.</w:t>
            </w:r>
          </w:p>
        </w:tc>
      </w:tr>
      <w:tr>
        <w:tc>
          <w:tcPr>
            <w:tcW w:type="dxa" w:w="5227"/>
            <w:vAlign w:val="top"/>
          </w:tcPr>
          <w:p>
            <w:r>
              <w:t>FR-STK-013</w:t>
            </w:r>
          </w:p>
        </w:tc>
        <w:tc>
          <w:tcPr>
            <w:tcW w:type="dxa" w:w="5227"/>
            <w:vAlign w:val="top"/>
          </w:tcPr>
          <w:p>
            <w:r>
              <w:t>Negative-stock behavior is configurable by company or warehouse.</w:t>
            </w:r>
          </w:p>
        </w:tc>
      </w:tr>
      <w:tr>
        <w:tc>
          <w:tcPr>
            <w:tcW w:type="dxa" w:w="5227"/>
            <w:vAlign w:val="top"/>
          </w:tcPr>
          <w:p>
            <w:r>
              <w:t>FR-STK-014</w:t>
            </w:r>
          </w:p>
        </w:tc>
        <w:tc>
          <w:tcPr>
            <w:tcW w:type="dxa" w:w="5227"/>
            <w:vAlign w:val="top"/>
          </w:tcPr>
          <w:p>
            <w:r>
              <w:t>Create reorder alerts when available quantity falls below minimum stock.</w:t>
            </w:r>
          </w:p>
        </w:tc>
      </w:tr>
      <w:tr>
        <w:tc>
          <w:tcPr>
            <w:tcW w:type="dxa" w:w="5227"/>
            <w:vAlign w:val="top"/>
          </w:tcPr>
          <w:p>
            <w:r>
              <w:t>FR-STK-015</w:t>
            </w:r>
          </w:p>
        </w:tc>
        <w:tc>
          <w:tcPr>
            <w:tcW w:type="dxa" w:w="5227"/>
            <w:vAlign w:val="top"/>
          </w:tcPr>
          <w:p>
            <w:r>
              <w:t>Stock postings are idempotent using a unique source-document reference.</w:t>
            </w:r>
          </w:p>
        </w:tc>
      </w:tr>
    </w:tbl>
    <w:p>
      <w:r>
        <w:t>Related parent requirements that constrain this phase: FR-MST-004 (minimum stock/reorder quantity), FR-MST-006 (inactive products not selectable in new transactions), FR-MST-025–028 (warehouses and inactive warehouse behavior), FR-ADM-004 (policy authorization), FR-ADM-007–009 (audit records), and the parent Stock permission matrix.</w:t>
      </w:r>
    </w:p>
    <w:p>
      <w:pPr>
        <w:pStyle w:val="Heading1"/>
      </w:pPr>
      <w:r>
        <w:t>4. Parent User Stories Binding This Phase</w:t>
      </w:r>
    </w:p>
    <w:tbl>
      <w:tblPr>
        <w:tblStyle w:val="TableGrid"/>
        <w:tblW w:type="auto" w:w="0"/>
        <w:jc w:val="center"/>
        <w:tblLook w:firstColumn="1" w:firstRow="1" w:lastColumn="0" w:lastRow="0" w:noHBand="0" w:noVBand="1" w:val="04A0"/>
      </w:tblPr>
      <w:tblGrid>
        <w:gridCol w:w="5227"/>
        <w:gridCol w:w="5227"/>
      </w:tblGrid>
      <w:tr>
        <w:tc>
          <w:tcPr>
            <w:tcW w:type="dxa" w:w="5227"/>
          </w:tcPr>
          <w:p>
            <w:r>
              <w:rPr>
                <w:b/>
              </w:rPr>
              <w:t>Story</w:t>
            </w:r>
          </w:p>
        </w:tc>
        <w:tc>
          <w:tcPr>
            <w:tcW w:type="dxa" w:w="5227"/>
          </w:tcPr>
          <w:p>
            <w:r>
              <w:rPr>
                <w:b/>
              </w:rPr>
              <w:t>Phase-4 obligation</w:t>
            </w:r>
          </w:p>
        </w:tc>
      </w:tr>
      <w:tr>
        <w:tc>
          <w:tcPr>
            <w:tcW w:type="dxa" w:w="5227"/>
            <w:vAlign w:val="top"/>
          </w:tcPr>
          <w:p>
            <w:r>
              <w:t>US-STK-001 Transfer Stock Between Warehouses</w:t>
            </w:r>
          </w:p>
        </w:tc>
        <w:tc>
          <w:tcPr>
            <w:tcW w:type="dxa" w:w="5227"/>
            <w:vAlign w:val="top"/>
          </w:tcPr>
          <w:p>
            <w:r>
              <w:t>Implement the complete transfer behavior: paired OUT/IN entries, atomicity, insufficient-stock rejection, and concurrent last-stock protection.</w:t>
            </w:r>
          </w:p>
        </w:tc>
      </w:tr>
      <w:tr>
        <w:tc>
          <w:tcPr>
            <w:tcW w:type="dxa" w:w="5227"/>
            <w:vAlign w:val="top"/>
          </w:tcPr>
          <w:p>
            <w:r>
              <w:t>US-STK-002 Reverse Stock Correction</w:t>
            </w:r>
          </w:p>
        </w:tc>
        <w:tc>
          <w:tcPr>
            <w:tcW w:type="dxa" w:w="5227"/>
            <w:vAlign w:val="top"/>
          </w:tcPr>
          <w:p>
            <w:r>
              <w:t>Implement reversal without mutating the original ledger entry; reversal references original; balance reflects both; audit is recorded.</w:t>
            </w:r>
          </w:p>
        </w:tc>
      </w:tr>
      <w:tr>
        <w:tc>
          <w:tcPr>
            <w:tcW w:type="dxa" w:w="5227"/>
            <w:vAlign w:val="top"/>
          </w:tcPr>
          <w:p>
            <w:r>
              <w:t>US-BIL-002 Reserve Stock on Sales Order</w:t>
            </w:r>
          </w:p>
        </w:tc>
        <w:tc>
          <w:tcPr>
            <w:tcW w:type="dxa" w:w="5227"/>
            <w:vAlign w:val="top"/>
          </w:tcPr>
          <w:p>
            <w:r>
              <w:t>Defines future QtyReserved semantics. Phase 4 must model and expose reservation-safe balance primitives, but Sales Order workflow is not implemented in this phase.</w:t>
            </w:r>
          </w:p>
        </w:tc>
      </w:tr>
      <w:tr>
        <w:tc>
          <w:tcPr>
            <w:tcW w:type="dxa" w:w="5227"/>
            <w:vAlign w:val="top"/>
          </w:tcPr>
          <w:p>
            <w:r>
              <w:t>US-BIL-003 Convert Reservation to Invoice Issue</w:t>
            </w:r>
          </w:p>
        </w:tc>
        <w:tc>
          <w:tcPr>
            <w:tcW w:type="dxa" w:w="5227"/>
            <w:vAlign w:val="top"/>
          </w:tcPr>
          <w:p>
            <w:r>
              <w:t>Defines future atomic reservation-to-issue behavior. Engine boundaries must support it; Billing integration is deferred.</w:t>
            </w:r>
          </w:p>
        </w:tc>
      </w:tr>
      <w:tr>
        <w:tc>
          <w:tcPr>
            <w:tcW w:type="dxa" w:w="5227"/>
            <w:vAlign w:val="top"/>
          </w:tcPr>
          <w:p>
            <w:r>
              <w:t>US-BIL-001 Post Sales Invoice</w:t>
            </w:r>
          </w:p>
        </w:tc>
        <w:tc>
          <w:tcPr>
            <w:tcW w:type="dxa" w:w="5227"/>
            <w:vAlign w:val="top"/>
          </w:tcPr>
          <w:p>
            <w:r>
              <w:t>FR-STK-006 stock issue integration is deferred until Invoice exists; do not invent Invoice domain models now.</w:t>
            </w:r>
          </w:p>
        </w:tc>
      </w:tr>
      <w:tr>
        <w:tc>
          <w:tcPr>
            <w:tcW w:type="dxa" w:w="5227"/>
            <w:vAlign w:val="top"/>
          </w:tcPr>
          <w:p>
            <w:r>
              <w:t>US-PUR-001 Receive Goods Against Purchase Order</w:t>
            </w:r>
          </w:p>
        </w:tc>
        <w:tc>
          <w:tcPr>
            <w:tcW w:type="dxa" w:w="5227"/>
            <w:vAlign w:val="top"/>
          </w:tcPr>
          <w:p>
            <w:r>
              <w:t>FR-STK-007/weighted-average GRN integration is deferred until Purchasing exists; do not invent PO/GRN models now.</w:t>
            </w:r>
          </w:p>
        </w:tc>
      </w:tr>
    </w:tbl>
    <w:p>
      <w:pPr>
        <w:pStyle w:val="Heading1"/>
      </w:pPr>
      <w:r>
        <w:t>5. Scope</w:t>
      </w:r>
    </w:p>
    <w:p>
      <w:pPr>
        <w:pStyle w:val="Heading2"/>
      </w:pPr>
      <w:r>
        <w:t>5.1 In Scope</w:t>
      </w:r>
    </w:p>
    <w:p>
      <w:pPr>
        <w:pStyle w:val="ListBullet"/>
      </w:pPr>
      <w:r>
        <w:t>StockLedgerEntry append-only persistence and queries.</w:t>
      </w:r>
    </w:p>
    <w:p>
      <w:pPr>
        <w:pStyle w:val="ListBullet"/>
      </w:pPr>
      <w:r>
        <w:t>StockBalance per Product × Warehouse with QtyOnHand, QtyReserved, WeightedAverageCost and SQL rowversion.</w:t>
      </w:r>
    </w:p>
    <w:p>
      <w:pPr>
        <w:pStyle w:val="ListBullet"/>
      </w:pPr>
      <w:r>
        <w:t>Available quantity calculation as QtyOnHand - QtyReserved.</w:t>
      </w:r>
    </w:p>
    <w:p>
      <w:pPr>
        <w:pStyle w:val="ListBullet"/>
      </w:pPr>
      <w:r>
        <w:t>Opening-balance posting as controlled stock receipt.</w:t>
      </w:r>
    </w:p>
    <w:p>
      <w:pPr>
        <w:pStyle w:val="ListBullet"/>
      </w:pPr>
      <w:r>
        <w:t>Stock-adjustment draft/post/reverse workflow sufficient to enforce Stock.Adjust versus Stock.Post capabilities and reversal-only correction.</w:t>
      </w:r>
    </w:p>
    <w:p>
      <w:pPr>
        <w:pStyle w:val="ListBullet"/>
      </w:pPr>
      <w:r>
        <w:t>Warehouse-transfer draft/post workflow with atomic paired OUT/IN entries.</w:t>
      </w:r>
    </w:p>
    <w:p>
      <w:pPr>
        <w:pStyle w:val="ListBullet"/>
      </w:pPr>
      <w:r>
        <w:t>Negative-stock configuration at Warehouse level using the existing Warehouse aggregate/model, default disabled.</w:t>
      </w:r>
    </w:p>
    <w:p>
      <w:pPr>
        <w:pStyle w:val="ListBullet"/>
      </w:pPr>
      <w:r>
        <w:t>Reorder-alert state/queries driven by available quantity and Product.MinimumStockLevel.</w:t>
      </w:r>
    </w:p>
    <w:p>
      <w:pPr>
        <w:pStyle w:val="ListBullet"/>
      </w:pPr>
      <w:r>
        <w:t>Idempotent posting using source-document identity and relational uniqueness.</w:t>
      </w:r>
    </w:p>
    <w:p>
      <w:pPr>
        <w:pStyle w:val="ListBullet"/>
      </w:pPr>
      <w:r>
        <w:t>Inventory authorization using completed ARP-01 permissions/capabilities.</w:t>
      </w:r>
    </w:p>
    <w:p>
      <w:pPr>
        <w:pStyle w:val="ListBullet"/>
      </w:pPr>
      <w:r>
        <w:t>Audit entries for inventory create/update/post/reverse operations required by FR-ADM-007–009.</w:t>
      </w:r>
    </w:p>
    <w:p>
      <w:pPr>
        <w:pStyle w:val="ListBullet"/>
      </w:pPr>
      <w:r>
        <w:t>Transactional posting, concurrency handling, EF Core SQL Server mappings/migration, and automated tests.</w:t>
      </w:r>
    </w:p>
    <w:p>
      <w:pPr>
        <w:pStyle w:val="ListBullet"/>
      </w:pPr>
      <w:r>
        <w:t>Internal application/domain posting primitives that later Invoice, GRN and Sales Order slices can call without redesigning the inventory engine.</w:t>
      </w:r>
    </w:p>
    <w:p>
      <w:pPr>
        <w:pStyle w:val="Heading2"/>
      </w:pPr>
      <w:r>
        <w:t>5.2 Out of Scope</w:t>
      </w:r>
    </w:p>
    <w:p>
      <w:pPr>
        <w:pStyle w:val="ListBullet"/>
      </w:pPr>
      <w:r>
        <w:t>Sales Orders, reservations initiated by Sales Orders, Invoice domain/workflows, Credit Notes, Purchase Orders and GRNs. Their later phases integrate with this engine.</w:t>
      </w:r>
    </w:p>
    <w:p>
      <w:pPr>
        <w:pStyle w:val="ListBullet"/>
      </w:pPr>
      <w:r>
        <w:t>Number series. Inventory document identifiers may use existing GUID identity/source references; do not implement FR-ADM-005/006 here.</w:t>
      </w:r>
    </w:p>
    <w:p>
      <w:pPr>
        <w:pStyle w:val="ListBullet"/>
      </w:pPr>
      <w:r>
        <w:t>Full reporting phase/Dapper reports. Phase 4 may expose operational inventory queries required to use the engine, but not FR-RPT report exports.</w:t>
      </w:r>
    </w:p>
    <w:p>
      <w:pPr>
        <w:pStyle w:val="ListBullet"/>
      </w:pPr>
      <w:r>
        <w:t>Company/branch domain models not yet present. FR-STK-013 is satisfied in this phase through Warehouse-level configuration, which the parent explicitly permits ('company or warehouse'). Do not invent a Company aggregate solely for this setting.</w:t>
      </w:r>
    </w:p>
    <w:p>
      <w:pPr>
        <w:pStyle w:val="ListBullet"/>
      </w:pPr>
      <w:r>
        <w:t>Batch/serial/expiry tracking, UoM conversion, multi-currency, GL accounting, barcode, manufacturing/BOM.</w:t>
      </w:r>
    </w:p>
    <w:p>
      <w:pPr>
        <w:pStyle w:val="ListBullet"/>
      </w:pPr>
      <w:r>
        <w:t>Angular/React UI.</w:t>
      </w:r>
    </w:p>
    <w:p>
      <w:pPr>
        <w:pStyle w:val="ListBullet"/>
      </w:pPr>
      <w:r>
        <w:t>Changes to ARP-01 authentication/session design.</w:t>
      </w:r>
    </w:p>
    <w:p>
      <w:pPr>
        <w:pStyle w:val="Heading1"/>
      </w:pPr>
      <w:r>
        <w:t>6. Architecture and Contract Rules</w:t>
      </w:r>
    </w:p>
    <w:p>
      <w:pPr>
        <w:pStyle w:val="ListBullet"/>
      </w:pPr>
      <w:r>
        <w:t>Preserve Domain / Application / Infrastructure / Api boundaries and existing vertical-slice conventions.</w:t>
      </w:r>
    </w:p>
    <w:p>
      <w:pPr>
        <w:pStyle w:val="ListBullet"/>
      </w:pPr>
      <w:r>
        <w:t>Application inventory features use Command/Query + explicit Response DTOs exactly as MD-01 Final v3 established.</w:t>
      </w:r>
    </w:p>
    <w:p>
      <w:pPr>
        <w:pStyle w:val="ListBullet"/>
      </w:pPr>
      <w:r>
        <w:t>No redundant XRequest DTO layer.</w:t>
      </w:r>
    </w:p>
    <w:p>
      <w:pPr>
        <w:pStyle w:val="ListBullet"/>
      </w:pPr>
      <w:r>
        <w:t>Endpoints map route/body/query values directly to Command/Query contracts.</w:t>
      </w:r>
    </w:p>
    <w:p>
      <w:pPr>
        <w:pStyle w:val="ListBullet"/>
      </w:pPr>
      <w:r>
        <w:t>Handlers return explicit XResponse where response bodies exist; no anonymous objects, tuples, dictionaries or generic object substitutes.</w:t>
      </w:r>
    </w:p>
    <w:p>
      <w:pPr>
        <w:pStyle w:val="ListBullet"/>
      </w:pPr>
      <w:r>
        <w:t>Domain/EF entities are never HTTP contracts.</w:t>
      </w:r>
    </w:p>
    <w:p>
      <w:pPr>
        <w:pStyle w:val="ListBullet"/>
      </w:pPr>
      <w:r>
        <w:t>No generic repository. Use the accepted application persistence abstraction/DbContext boundary already present.</w:t>
      </w:r>
    </w:p>
    <w:p>
      <w:pPr>
        <w:pStyle w:val="ListBullet"/>
      </w:pPr>
      <w:r>
        <w:t>Inventory posting is transactional. Multi-write posting operations must commit or roll back as a unit.</w:t>
      </w:r>
    </w:p>
    <w:p>
      <w:pPr>
        <w:pStyle w:val="ListBullet"/>
      </w:pPr>
      <w:r>
        <w:t>Use existing ARP-01 authorization infrastructure rather than implementing a second permission system.</w:t>
      </w:r>
    </w:p>
    <w:p>
      <w:pPr>
        <w:pStyle w:val="ListBullet"/>
      </w:pPr>
      <w:r>
        <w:t>Use ICurrentUserService for actor identity needed by audit records; handlers must not parse JWT or depend directly on HttpContext.</w:t>
      </w:r>
    </w:p>
    <w:p>
      <w:pPr>
        <w:pStyle w:val="Heading1"/>
      </w:pPr>
      <w:r>
        <w:t>7. Inventory Domain Model</w:t>
      </w:r>
    </w:p>
    <w:tbl>
      <w:tblPr>
        <w:tblStyle w:val="TableGrid"/>
        <w:tblW w:type="auto" w:w="0"/>
        <w:jc w:val="center"/>
        <w:tblLook w:firstColumn="1" w:firstRow="1" w:lastColumn="0" w:lastRow="0" w:noHBand="0" w:noVBand="1" w:val="04A0"/>
      </w:tblPr>
      <w:tblGrid>
        <w:gridCol w:w="5227"/>
        <w:gridCol w:w="5227"/>
      </w:tblGrid>
      <w:tr>
        <w:tc>
          <w:tcPr>
            <w:tcW w:type="dxa" w:w="5227"/>
          </w:tcPr>
          <w:p>
            <w:r>
              <w:rPr>
                <w:b/>
              </w:rPr>
              <w:t>Model</w:t>
            </w:r>
          </w:p>
        </w:tc>
        <w:tc>
          <w:tcPr>
            <w:tcW w:type="dxa" w:w="5227"/>
          </w:tcPr>
          <w:p>
            <w:r>
              <w:rPr>
                <w:b/>
              </w:rPr>
              <w:t>Required contract</w:t>
            </w:r>
          </w:p>
        </w:tc>
      </w:tr>
      <w:tr>
        <w:tc>
          <w:tcPr>
            <w:tcW w:type="dxa" w:w="5227"/>
            <w:vAlign w:val="top"/>
          </w:tcPr>
          <w:p>
            <w:r>
              <w:t>StockLedgerEntry</w:t>
            </w:r>
          </w:p>
        </w:tc>
        <w:tc>
          <w:tcPr>
            <w:tcW w:type="dxa" w:w="5227"/>
            <w:vAlign w:val="top"/>
          </w:tcPr>
          <w:p>
            <w:r>
              <w:t>Immutable after insertion. Id; ProductId; WarehouseId; MovementType; Quantity; UnitCost/valuation cost as applicable; SourceDocumentType; SourceDocumentId; SourceLineId where applicable; ReversalOfLedgerEntryId nullable; PostedAt; PostedByUserId; CorrelationId. Quantity semantics must be unambiguous; movement type determines IN/OUT effect.</w:t>
            </w:r>
          </w:p>
        </w:tc>
      </w:tr>
      <w:tr>
        <w:tc>
          <w:tcPr>
            <w:tcW w:type="dxa" w:w="5227"/>
            <w:vAlign w:val="top"/>
          </w:tcPr>
          <w:p>
            <w:r>
              <w:t>StockBalance</w:t>
            </w:r>
          </w:p>
        </w:tc>
        <w:tc>
          <w:tcPr>
            <w:tcW w:type="dxa" w:w="5227"/>
            <w:vAlign w:val="top"/>
          </w:tcPr>
          <w:p>
            <w:r>
              <w:t>One row per ProductId + WarehouseId. QtyOnHand; QtyReserved; WeightedAverageCost; RowVersion. AvailableQuantity is derived as QtyOnHand - QtyReserved and must not be independently drift-prone persisted state unless implemented as a computed value.</w:t>
            </w:r>
          </w:p>
        </w:tc>
      </w:tr>
      <w:tr>
        <w:tc>
          <w:tcPr>
            <w:tcW w:type="dxa" w:w="5227"/>
            <w:vAlign w:val="top"/>
          </w:tcPr>
          <w:p>
            <w:r>
              <w:t>StockAdjustment</w:t>
            </w:r>
          </w:p>
        </w:tc>
        <w:tc>
          <w:tcPr>
            <w:tcW w:type="dxa" w:w="5227"/>
            <w:vAlign w:val="top"/>
          </w:tcPr>
          <w:p>
            <w:r>
              <w:t>Controlled inventory document supporting draft/edit before posting and immutable posting result. Product, Warehouse, quantity/delta, reason code, status and audit/source identity. Correction after posting occurs by reversal, never editing ledger history.</w:t>
            </w:r>
          </w:p>
        </w:tc>
      </w:tr>
      <w:tr>
        <w:tc>
          <w:tcPr>
            <w:tcW w:type="dxa" w:w="5227"/>
            <w:vAlign w:val="top"/>
          </w:tcPr>
          <w:p>
            <w:r>
              <w:t>StockTransfer</w:t>
            </w:r>
          </w:p>
        </w:tc>
        <w:tc>
          <w:tcPr>
            <w:tcW w:type="dxa" w:w="5227"/>
            <w:vAlign w:val="top"/>
          </w:tcPr>
          <w:p>
            <w:r>
              <w:t>Controlled inventory document with source warehouse, destination warehouse, product/line quantities, status and source identity. Source and destination must differ.</w:t>
            </w:r>
          </w:p>
        </w:tc>
      </w:tr>
      <w:tr>
        <w:tc>
          <w:tcPr>
            <w:tcW w:type="dxa" w:w="5227"/>
            <w:vAlign w:val="top"/>
          </w:tcPr>
          <w:p>
            <w:r>
              <w:t>OpeningBalance</w:t>
            </w:r>
          </w:p>
        </w:tc>
        <w:tc>
          <w:tcPr>
            <w:tcW w:type="dxa" w:w="5227"/>
            <w:vAlign w:val="top"/>
          </w:tcPr>
          <w:p>
            <w:r>
              <w:t>Controlled posting input/document representing initial receipt by product/warehouse/quantity/cost. Reposting same source must be idempotent.</w:t>
            </w:r>
          </w:p>
        </w:tc>
      </w:tr>
      <w:tr>
        <w:tc>
          <w:tcPr>
            <w:tcW w:type="dxa" w:w="5227"/>
            <w:vAlign w:val="top"/>
          </w:tcPr>
          <w:p>
            <w:r>
              <w:t>ReorderAlert</w:t>
            </w:r>
          </w:p>
        </w:tc>
        <w:tc>
          <w:tcPr>
            <w:tcW w:type="dxa" w:w="5227"/>
            <w:vAlign w:val="top"/>
          </w:tcPr>
          <w:p>
            <w:r>
              <w:t>Derived or persisted operational alert representing Product × Warehouse where AvailableQuantity &lt; Product.MinimumStockLevel. If persisted, lifecycle must be deterministic and duplicate-safe.</w:t>
            </w:r>
          </w:p>
        </w:tc>
      </w:tr>
      <w:tr>
        <w:tc>
          <w:tcPr>
            <w:tcW w:type="dxa" w:w="5227"/>
            <w:vAlign w:val="top"/>
          </w:tcPr>
          <w:p>
            <w:r>
              <w:t>Warehouse negative-stock setting</w:t>
            </w:r>
          </w:p>
        </w:tc>
        <w:tc>
          <w:tcPr>
            <w:tcW w:type="dxa" w:w="5227"/>
            <w:vAlign w:val="top"/>
          </w:tcPr>
          <w:p>
            <w:r>
              <w:t>Boolean/configuration on or associated with Warehouse; default false. It governs whether operations that reduce available/on-hand stock may cross below zero. Do not invent Company solely for this.</w:t>
            </w:r>
          </w:p>
        </w:tc>
      </w:tr>
    </w:tbl>
    <w:p>
      <w:pPr>
        <w:pStyle w:val="Heading1"/>
      </w:pPr>
      <w:r>
        <w:t>8. Ledger Invariants</w:t>
      </w:r>
    </w:p>
    <w:p>
      <w:pPr>
        <w:pStyle w:val="ListBullet"/>
      </w:pPr>
      <w:r>
        <w:t>StockLedgerEntry is append-only. No update/delete path may alter a posted ledger entry.</w:t>
      </w:r>
    </w:p>
    <w:p>
      <w:pPr>
        <w:pStyle w:val="ListBullet"/>
      </w:pPr>
      <w:r>
        <w:t>Corrections create compensating reversal entries and retain the original.</w:t>
      </w:r>
    </w:p>
    <w:p>
      <w:pPr>
        <w:pStyle w:val="ListBullet"/>
      </w:pPr>
      <w:r>
        <w:t>Every ledger entry identifies its source document and posting context.</w:t>
      </w:r>
    </w:p>
    <w:p>
      <w:pPr>
        <w:pStyle w:val="ListBullet"/>
      </w:pPr>
      <w:r>
        <w:t>Reversal entry references the original ledger entry and applies the exact opposite stock effect required to neutralize it.</w:t>
      </w:r>
    </w:p>
    <w:p>
      <w:pPr>
        <w:pStyle w:val="ListBullet"/>
      </w:pPr>
      <w:r>
        <w:t>Ledger quantities use the Product stock UoM. No UoM conversion is introduced.</w:t>
      </w:r>
    </w:p>
    <w:p>
      <w:pPr>
        <w:pStyle w:val="ListBullet"/>
      </w:pPr>
      <w:r>
        <w:t>Posting inactive Product or inactive Warehouse in a new inventory transaction is rejected, consistent with MD-01.</w:t>
      </w:r>
    </w:p>
    <w:p>
      <w:pPr>
        <w:pStyle w:val="ListBullet"/>
      </w:pPr>
      <w:r>
        <w:t>Posted inventory document state cannot be edited to rewrite ledger history.</w:t>
      </w:r>
    </w:p>
    <w:p>
      <w:pPr>
        <w:pStyle w:val="ListBullet"/>
      </w:pPr>
      <w:r>
        <w:t>All balance changes caused by a posting and all ledger entries for that posting occur in the same database transaction.</w:t>
      </w:r>
    </w:p>
    <w:p>
      <w:pPr>
        <w:pStyle w:val="Heading1"/>
      </w:pPr>
      <w:r>
        <w:t>9. Stock Balance and Available Quantity</w:t>
      </w:r>
    </w:p>
    <w:p>
      <w:pPr>
        <w:ind w:left="360"/>
      </w:pPr>
      <w:r>
        <w:rPr>
          <w:rFonts w:ascii="Consolas" w:hAnsi="Consolas"/>
          <w:sz w:val="16"/>
        </w:rPr>
        <w:t>AvailableQuantity = QtyOnHand - QtyReserved</w:t>
      </w:r>
    </w:p>
    <w:p>
      <w:pPr>
        <w:pStyle w:val="ListBullet"/>
      </w:pPr>
      <w:r>
        <w:t>StockBalance is unique on ProductId + WarehouseId.</w:t>
      </w:r>
    </w:p>
    <w:p>
      <w:pPr>
        <w:pStyle w:val="ListBullet"/>
      </w:pPr>
      <w:r>
        <w:t>Missing balance is treated as zero state and created safely on first legitimate posting.</w:t>
      </w:r>
    </w:p>
    <w:p>
      <w:pPr>
        <w:pStyle w:val="ListBullet"/>
      </w:pPr>
      <w:r>
        <w:t>QtyReserved is modeled now because the parent inventory model requires it, but Phase 4 does not invent Sales Order endpoints.</w:t>
      </w:r>
    </w:p>
    <w:p>
      <w:pPr>
        <w:pStyle w:val="ListBullet"/>
      </w:pPr>
      <w:r>
        <w:t>Phase-4 direct stock receipts/issues/transfers/adjustments must not arbitrarily change QtyReserved unless the operation explicitly represents a reservation primitive designed for later Billing integration.</w:t>
      </w:r>
    </w:p>
    <w:p>
      <w:pPr>
        <w:pStyle w:val="ListBullet"/>
      </w:pPr>
      <w:r>
        <w:t>Balance updates use SQL Server rowversion optimistic concurrency.</w:t>
      </w:r>
    </w:p>
    <w:p>
      <w:pPr>
        <w:pStyle w:val="ListBullet"/>
      </w:pPr>
      <w:r>
        <w:t>Concurrency conflicts return controlled domain/API errors and must not result in partial ledger/balance writes.</w:t>
      </w:r>
    </w:p>
    <w:p>
      <w:pPr>
        <w:pStyle w:val="Heading1"/>
      </w:pPr>
      <w:r>
        <w:t>10. Weighted Average Cost</w:t>
      </w:r>
    </w:p>
    <w:p>
      <w:r>
        <w:t>Weighted average cost is the authoritative valuation method required by FR-STK-005. For a positive-cost receipt into existing positive on-hand stock, the engine shall calculate the new weighted average from existing inventory value plus receipt value.</w:t>
      </w:r>
    </w:p>
    <w:p>
      <w:pPr>
        <w:ind w:left="360"/>
      </w:pPr>
      <w:r>
        <w:rPr>
          <w:rFonts w:ascii="Consolas" w:hAnsi="Consolas"/>
          <w:sz w:val="16"/>
        </w:rPr>
        <w:t>newAverage = ((oldQtyOnHand × oldAverageCost) + (receiptQty × receiptUnitCost))</w:t>
      </w:r>
    </w:p>
    <w:p>
      <w:pPr>
        <w:ind w:left="360"/>
      </w:pPr>
      <w:r>
        <w:rPr>
          <w:rFonts w:ascii="Consolas" w:hAnsi="Consolas"/>
          <w:sz w:val="16"/>
        </w:rPr>
        <w:t xml:space="preserve">             / (oldQtyOnHand + receiptQty)</w:t>
      </w:r>
    </w:p>
    <w:p>
      <w:pPr>
        <w:pStyle w:val="ListBullet"/>
      </w:pPr>
      <w:r>
        <w:t>Receipt quantity must be positive for this formula.</w:t>
      </w:r>
    </w:p>
    <w:p>
      <w:pPr>
        <w:pStyle w:val="ListBullet"/>
      </w:pPr>
      <w:r>
        <w:t>Issue transactions reduce QtyOnHand but do not recalculate the weighted average cost from the issue itself.</w:t>
      </w:r>
    </w:p>
    <w:p>
      <w:pPr>
        <w:pStyle w:val="ListBullet"/>
      </w:pPr>
      <w:r>
        <w:t>Transfer OUT carries the source warehouse's current weighted-average cost as the transfer valuation cost. Transfer IN uses that same transferred cost for the destination weighted-average calculation.</w:t>
      </w:r>
    </w:p>
    <w:p>
      <w:pPr>
        <w:pStyle w:val="ListBullet"/>
      </w:pPr>
      <w:r>
        <w:t>Opening-balance receipts participate in weighted-average valuation using their supplied unit cost.</w:t>
      </w:r>
    </w:p>
    <w:p>
      <w:pPr>
        <w:pStyle w:val="ListBullet"/>
      </w:pPr>
      <w:r>
        <w:t>Positive stock adjustments that add stock require a valuation unit cost sufficient to maintain weighted-average valuation; negative adjustments use current weighted-average cost.</w:t>
      </w:r>
    </w:p>
    <w:p>
      <w:pPr>
        <w:pStyle w:val="ListBullet"/>
      </w:pPr>
      <w:r>
        <w:t>Reversal must neutralize the original posting's stock/valuation effect using the original posting valuation data; do not recompute history from today's cost.</w:t>
      </w:r>
    </w:p>
    <w:p>
      <w:pPr>
        <w:pStyle w:val="ListBullet"/>
      </w:pPr>
      <w:r>
        <w:t>Decimal precision/scale must follow SQL Server decimal configuration appropriate to existing monetary/quantity conventions and be explicitly mapped/tested.</w:t>
      </w:r>
    </w:p>
    <w:p>
      <w:pPr>
        <w:pStyle w:val="ListBullet"/>
      </w:pPr>
      <w:r>
        <w:t>When the resulting on-hand quantity becomes zero, retain or reset weighted average only according to a single deterministic implementation rule documented in code/tests; no historical ledger values are changed. The rule must not create inventory value when quantity is zero.</w:t>
      </w:r>
    </w:p>
    <w:p>
      <w:pPr>
        <w:pStyle w:val="Heading1"/>
      </w:pPr>
      <w:r>
        <w:t>11. Negative Stock</w:t>
      </w:r>
    </w:p>
    <w:p>
      <w:pPr>
        <w:pStyle w:val="ListBullet"/>
      </w:pPr>
      <w:r>
        <w:t>Negative stock is blocked by default.</w:t>
      </w:r>
    </w:p>
    <w:p>
      <w:pPr>
        <w:pStyle w:val="ListBullet"/>
      </w:pPr>
      <w:r>
        <w:t>Warehouse-level configuration is the Phase-4 implementation of FR-STK-013.</w:t>
      </w:r>
    </w:p>
    <w:p>
      <w:pPr>
        <w:pStyle w:val="ListBullet"/>
      </w:pPr>
      <w:r>
        <w:t>When disabled, a posting that would make the applicable stock quantity/available quantity invalid is rejected before commit.</w:t>
      </w:r>
    </w:p>
    <w:p>
      <w:pPr>
        <w:pStyle w:val="ListBullet"/>
      </w:pPr>
      <w:r>
        <w:t>Transfer OUT must validate source availability; rejection creates neither OUT nor IN entry.</w:t>
      </w:r>
    </w:p>
    <w:p>
      <w:pPr>
        <w:pStyle w:val="ListBullet"/>
      </w:pPr>
      <w:r>
        <w:t>Negative-stock configuration does not bypass rowversion concurrency or authorization.</w:t>
      </w:r>
    </w:p>
    <w:p>
      <w:pPr>
        <w:pStyle w:val="ListBullet"/>
      </w:pPr>
      <w:r>
        <w:t>Changing the setting affects future postings only; it does not rewrite ledger history.</w:t>
      </w:r>
    </w:p>
    <w:p>
      <w:pPr>
        <w:pStyle w:val="ListBullet"/>
      </w:pPr>
      <w:r>
        <w:t>Phase 4 must not invent company-level configuration because Company is not yet an accepted model.</w:t>
      </w:r>
    </w:p>
    <w:p>
      <w:pPr>
        <w:pStyle w:val="Heading1"/>
      </w:pPr>
      <w:r>
        <w:t>12. Opening Balances</w:t>
      </w:r>
    </w:p>
    <w:p>
      <w:pPr>
        <w:pStyle w:val="ListBullet"/>
      </w:pPr>
      <w:r>
        <w:t>Opening balance posting is a controlled stock receipt entry (FR-STK-009).</w:t>
      </w:r>
    </w:p>
    <w:p>
      <w:pPr>
        <w:pStyle w:val="ListBullet"/>
      </w:pPr>
      <w:r>
        <w:t>Input requires active Product, active Warehouse, positive quantity and valuation unit cost.</w:t>
      </w:r>
    </w:p>
    <w:p>
      <w:pPr>
        <w:pStyle w:val="ListBullet"/>
      </w:pPr>
      <w:r>
        <w:t>Posting creates ledger receipt + updates StockBalance + weighted average + reorder state + audit atomically.</w:t>
      </w:r>
    </w:p>
    <w:p>
      <w:pPr>
        <w:pStyle w:val="ListBullet"/>
      </w:pPr>
      <w:r>
        <w:t>Posting is protected by Stock.OpeningBalance with capability sufficient to post (Full in the parent matrix).</w:t>
      </w:r>
    </w:p>
    <w:p>
      <w:pPr>
        <w:pStyle w:val="ListBullet"/>
      </w:pPr>
      <w:r>
        <w:t>Duplicate posting of the same source reference is idempotent.</w:t>
      </w:r>
    </w:p>
    <w:p>
      <w:pPr>
        <w:pStyle w:val="ListBullet"/>
      </w:pPr>
      <w:r>
        <w:t>Corrections after posting use reversal/compensating inventory behavior; no ledger mutation.</w:t>
      </w:r>
    </w:p>
    <w:p>
      <w:pPr>
        <w:pStyle w:val="Heading1"/>
      </w:pPr>
      <w:r>
        <w:t>13. Stock Adjustments</w:t>
      </w:r>
    </w:p>
    <w:p>
      <w:pPr>
        <w:pStyle w:val="ListBullet"/>
      </w:pPr>
      <w:r>
        <w:t>Adjustment requires Product, Warehouse, non-zero quantity/delta, reason code and authorization.</w:t>
      </w:r>
    </w:p>
    <w:p>
      <w:pPr>
        <w:pStyle w:val="ListBullet"/>
      </w:pPr>
      <w:r>
        <w:t>Create/edit draft adjustment uses Stock.Adjust with Create/Edit or Full.</w:t>
      </w:r>
    </w:p>
    <w:p>
      <w:pPr>
        <w:pStyle w:val="ListBullet"/>
      </w:pPr>
      <w:r>
        <w:t>Posting adjustment uses Stock.Post with Post or Full and also requires the user to be authorized to access the adjustment operation; do not allow Stock.Post alone to become a general bypass of Stock.Adjust scope.</w:t>
      </w:r>
    </w:p>
    <w:p>
      <w:pPr>
        <w:pStyle w:val="ListBullet"/>
      </w:pPr>
      <w:r>
        <w:t>Positive adjustment creates receipt effect and participates in weighted-average valuation; negative adjustment creates issue effect and observes negative-stock rules.</w:t>
      </w:r>
    </w:p>
    <w:p>
      <w:pPr>
        <w:pStyle w:val="ListBullet"/>
      </w:pPr>
      <w:r>
        <w:t>Posted adjustment cannot be edited.</w:t>
      </w:r>
    </w:p>
    <w:p>
      <w:pPr>
        <w:pStyle w:val="ListBullet"/>
      </w:pPr>
      <w:r>
        <w:t>ReverseAdjustment creates compensating ledger entry/entries referencing the original and records audit. Original ledger remains unchanged.</w:t>
      </w:r>
    </w:p>
    <w:p>
      <w:pPr>
        <w:pStyle w:val="ListBullet"/>
      </w:pPr>
      <w:r>
        <w:t>Reversal must be idempotent: the same posted effect cannot be reversed twice.</w:t>
      </w:r>
    </w:p>
    <w:p>
      <w:pPr>
        <w:pStyle w:val="ListBullet"/>
      </w:pPr>
      <w:r>
        <w:t>Auditor/View-only roles cannot create, post or reverse.</w:t>
      </w:r>
    </w:p>
    <w:p>
      <w:pPr>
        <w:pStyle w:val="Heading1"/>
      </w:pPr>
      <w:r>
        <w:t>14. Warehouse Transfers</w:t>
      </w:r>
    </w:p>
    <w:p>
      <w:pPr>
        <w:pStyle w:val="ListBullet"/>
      </w:pPr>
      <w:r>
        <w:t>Transfer source and destination warehouses must differ and both must be active.</w:t>
      </w:r>
    </w:p>
    <w:p>
      <w:pPr>
        <w:pStyle w:val="ListBullet"/>
      </w:pPr>
      <w:r>
        <w:t>Create/edit draft uses Stock.Transfer with Create/Edit or Full.</w:t>
      </w:r>
    </w:p>
    <w:p>
      <w:pPr>
        <w:pStyle w:val="ListBullet"/>
      </w:pPr>
      <w:r>
        <w:t>Post uses Stock.Post with Post or Full plus authorization to the transfer operation.</w:t>
      </w:r>
    </w:p>
    <w:p>
      <w:pPr>
        <w:pStyle w:val="ListBullet"/>
      </w:pPr>
      <w:r>
        <w:t>Posting creates one OUT ledger entry for source and one IN ledger entry for destination, both referencing the same transfer/source document.</w:t>
      </w:r>
    </w:p>
    <w:p>
      <w:pPr>
        <w:pStyle w:val="ListBullet"/>
      </w:pPr>
      <w:r>
        <w:t>OUT and IN entries plus both StockBalance updates commit atomically.</w:t>
      </w:r>
    </w:p>
    <w:p>
      <w:pPr>
        <w:pStyle w:val="ListBullet"/>
      </w:pPr>
      <w:r>
        <w:t>Source availability is checked when negative stock is disabled.</w:t>
      </w:r>
    </w:p>
    <w:p>
      <w:pPr>
        <w:pStyle w:val="ListBullet"/>
      </w:pPr>
      <w:r>
        <w:t>Transfer IN uses the source transfer valuation cost for destination weighted-average calculation.</w:t>
      </w:r>
    </w:p>
    <w:p>
      <w:pPr>
        <w:pStyle w:val="ListBullet"/>
      </w:pPr>
      <w:r>
        <w:t>Concurrent attempts to transfer the last available stock must result in at most one successful stock-consuming operation.</w:t>
      </w:r>
    </w:p>
    <w:p>
      <w:pPr>
        <w:pStyle w:val="ListBullet"/>
      </w:pPr>
      <w:r>
        <w:t>Posted transfer is not edited. Any later correction must preserve append-only ledger principles; do not invent an unsupported destructive edit.</w:t>
      </w:r>
    </w:p>
    <w:p>
      <w:pPr>
        <w:pStyle w:val="Heading1"/>
      </w:pPr>
      <w:r>
        <w:t>15. Reversal Rules</w:t>
      </w:r>
    </w:p>
    <w:p>
      <w:pPr>
        <w:pStyle w:val="ListBullet"/>
      </w:pPr>
      <w:r>
        <w:t>Reversal is a new posting, never an update/delete of original ledger rows.</w:t>
      </w:r>
    </w:p>
    <w:p>
      <w:pPr>
        <w:pStyle w:val="ListBullet"/>
      </w:pPr>
      <w:r>
        <w:t>Reversal references original ledger entry/document and is auditable.</w:t>
      </w:r>
    </w:p>
    <w:p>
      <w:pPr>
        <w:pStyle w:val="ListBullet"/>
      </w:pPr>
      <w:r>
        <w:t>Reversal quantity/effect must correspond to the original effect being reversed.</w:t>
      </w:r>
    </w:p>
    <w:p>
      <w:pPr>
        <w:pStyle w:val="ListBullet"/>
      </w:pPr>
      <w:r>
        <w:t>Reversal of a receipt that would make stock invalid must obey the same negative-stock policy unless a later parent-authorized workflow explicitly defines otherwise.</w:t>
      </w:r>
    </w:p>
    <w:p>
      <w:pPr>
        <w:pStyle w:val="ListBullet"/>
      </w:pPr>
      <w:r>
        <w:t>Reversal is idempotent; unique relational constraints/state prevent duplicate reversal of the same posting.</w:t>
      </w:r>
    </w:p>
    <w:p>
      <w:pPr>
        <w:pStyle w:val="ListBullet"/>
      </w:pPr>
      <w:r>
        <w:t>Audit records capture actor, timestamp, action, entity, entity ID, old/new values as applicable, and correlation ID using existing audit infrastructure.</w:t>
      </w:r>
    </w:p>
    <w:p>
      <w:pPr>
        <w:pStyle w:val="Heading1"/>
      </w:pPr>
      <w:r>
        <w:t>16. Idempotent Posting and Source References</w:t>
      </w:r>
    </w:p>
    <w:p>
      <w:pPr>
        <w:pStyle w:val="ListBullet"/>
      </w:pPr>
      <w:r>
        <w:t>Every stock posting has a stable SourceDocumentType + SourceDocumentId identity. Line-level postings additionally use SourceLineId where needed.</w:t>
      </w:r>
    </w:p>
    <w:p>
      <w:pPr>
        <w:pStyle w:val="ListBullet"/>
      </w:pPr>
      <w:r>
        <w:t>Relational uniqueness must prevent duplicate ledger effects for the same source posting while still allowing legitimate multi-line postings and the paired OUT/IN transfer entries.</w:t>
      </w:r>
    </w:p>
    <w:p>
      <w:pPr>
        <w:pStyle w:val="ListBullet"/>
      </w:pPr>
      <w:r>
        <w:t>Do not use only an in-memory check for idempotency.</w:t>
      </w:r>
    </w:p>
    <w:p>
      <w:pPr>
        <w:pStyle w:val="ListBullet"/>
      </w:pPr>
      <w:r>
        <w:t>Retrying an already-successful posting returns the existing posted result or another controlled idempotent response and does not alter stock again.</w:t>
      </w:r>
    </w:p>
    <w:p>
      <w:pPr>
        <w:pStyle w:val="ListBullet"/>
      </w:pPr>
      <w:r>
        <w:t>Opening balance, adjustment post/reversal and transfer post must all be idempotent.</w:t>
      </w:r>
    </w:p>
    <w:p>
      <w:pPr>
        <w:pStyle w:val="ListBullet"/>
      </w:pPr>
      <w:r>
        <w:t>Design the source-reference scheme so later Invoice and GRN posting can use the same mechanism without schema redesign.</w:t>
      </w:r>
    </w:p>
    <w:p>
      <w:pPr>
        <w:pStyle w:val="Heading1"/>
      </w:pPr>
      <w:r>
        <w:t>17. Reorder Alerts</w:t>
      </w:r>
    </w:p>
    <w:p>
      <w:pPr>
        <w:pStyle w:val="ListBullet"/>
      </w:pPr>
      <w:r>
        <w:t>Product.MinimumStockLevel from MD-01 is authoritative.</w:t>
      </w:r>
    </w:p>
    <w:p>
      <w:pPr>
        <w:pStyle w:val="ListBullet"/>
      </w:pPr>
      <w:r>
        <w:t>An alert condition exists when AvailableQuantity &lt; MinimumStockLevel.</w:t>
      </w:r>
    </w:p>
    <w:p>
      <w:pPr>
        <w:pStyle w:val="ListBullet"/>
      </w:pPr>
      <w:r>
        <w:t>ReorderQuantity from Product is included in the operational alert response where useful; do not reinterpret it as an automatic purchase order.</w:t>
      </w:r>
    </w:p>
    <w:p>
      <w:pPr>
        <w:pStyle w:val="ListBullet"/>
      </w:pPr>
      <w:r>
        <w:t>Alert evaluation occurs after balance-changing postings.</w:t>
      </w:r>
    </w:p>
    <w:p>
      <w:pPr>
        <w:pStyle w:val="ListBullet"/>
      </w:pPr>
      <w:r>
        <w:t>If alerts are persisted, duplicate active alerts for the same Product × Warehouse condition are prohibited and resolved deterministically when stock recovers.</w:t>
      </w:r>
    </w:p>
    <w:p>
      <w:pPr>
        <w:pStyle w:val="ListBullet"/>
      </w:pPr>
      <w:r>
        <w:t>Provide an authenticated Stock.View query for current low-stock/reorder conditions.</w:t>
      </w:r>
    </w:p>
    <w:p>
      <w:pPr>
        <w:pStyle w:val="ListBullet"/>
      </w:pPr>
      <w:r>
        <w:t>Do not implement the later Dapper Low Stock report/export in this phase.</w:t>
      </w:r>
    </w:p>
    <w:p>
      <w:pPr>
        <w:pStyle w:val="Heading1"/>
      </w:pPr>
      <w:r>
        <w:t>18. Inventory Queries</w:t>
      </w:r>
    </w:p>
    <w:tbl>
      <w:tblPr>
        <w:tblStyle w:val="TableGrid"/>
        <w:tblW w:type="auto" w:w="0"/>
        <w:jc w:val="center"/>
        <w:tblLook w:firstColumn="1" w:firstRow="1" w:lastColumn="0" w:lastRow="0" w:noHBand="0" w:noVBand="1" w:val="04A0"/>
      </w:tblPr>
      <w:tblGrid>
        <w:gridCol w:w="5227"/>
        <w:gridCol w:w="5227"/>
      </w:tblGrid>
      <w:tr>
        <w:tc>
          <w:tcPr>
            <w:tcW w:type="dxa" w:w="5227"/>
          </w:tcPr>
          <w:p>
            <w:r>
              <w:rPr>
                <w:b/>
              </w:rPr>
              <w:t>Query</w:t>
            </w:r>
          </w:p>
        </w:tc>
        <w:tc>
          <w:tcPr>
            <w:tcW w:type="dxa" w:w="5227"/>
          </w:tcPr>
          <w:p>
            <w:r>
              <w:rPr>
                <w:b/>
              </w:rPr>
              <w:t>Minimum response</w:t>
            </w:r>
          </w:p>
        </w:tc>
      </w:tr>
      <w:tr>
        <w:tc>
          <w:tcPr>
            <w:tcW w:type="dxa" w:w="5227"/>
            <w:vAlign w:val="top"/>
          </w:tcPr>
          <w:p>
            <w:r>
              <w:t>GetStockBalance</w:t>
            </w:r>
          </w:p>
        </w:tc>
        <w:tc>
          <w:tcPr>
            <w:tcW w:type="dxa" w:w="5227"/>
            <w:vAlign w:val="top"/>
          </w:tcPr>
          <w:p>
            <w:r>
              <w:t>Product, Warehouse, QtyOnHand, QtyReserved, AvailableQuantity, WeightedAverageCost, concurrency/version representation if required for client concurrency.</w:t>
            </w:r>
          </w:p>
        </w:tc>
      </w:tr>
      <w:tr>
        <w:tc>
          <w:tcPr>
            <w:tcW w:type="dxa" w:w="5227"/>
            <w:vAlign w:val="top"/>
          </w:tcPr>
          <w:p>
            <w:r>
              <w:t>GetStockBalances</w:t>
            </w:r>
          </w:p>
        </w:tc>
        <w:tc>
          <w:tcPr>
            <w:tcW w:type="dxa" w:w="5227"/>
            <w:vAlign w:val="top"/>
          </w:tcPr>
          <w:p>
            <w:r>
              <w:t>Filter/paginate only to the extent consistent with existing API conventions; must not become Reporting phase.</w:t>
            </w:r>
          </w:p>
        </w:tc>
      </w:tr>
      <w:tr>
        <w:tc>
          <w:tcPr>
            <w:tcW w:type="dxa" w:w="5227"/>
            <w:vAlign w:val="top"/>
          </w:tcPr>
          <w:p>
            <w:r>
              <w:t>GetStockLedger</w:t>
            </w:r>
          </w:p>
        </w:tc>
        <w:tc>
          <w:tcPr>
            <w:tcW w:type="dxa" w:w="5227"/>
            <w:vAlign w:val="top"/>
          </w:tcPr>
          <w:p>
            <w:r>
              <w:t>Read-only movement history with source/reversal references and posting metadata; never exposes mutable entity contracts.</w:t>
            </w:r>
          </w:p>
        </w:tc>
      </w:tr>
      <w:tr>
        <w:tc>
          <w:tcPr>
            <w:tcW w:type="dxa" w:w="5227"/>
            <w:vAlign w:val="top"/>
          </w:tcPr>
          <w:p>
            <w:r>
              <w:t>GetReorderAlerts</w:t>
            </w:r>
          </w:p>
        </w:tc>
        <w:tc>
          <w:tcPr>
            <w:tcW w:type="dxa" w:w="5227"/>
            <w:vAlign w:val="top"/>
          </w:tcPr>
          <w:p>
            <w:r>
              <w:t>Current low-stock conditions using Product minimum stock and available quantity.</w:t>
            </w:r>
          </w:p>
        </w:tc>
      </w:tr>
      <w:tr>
        <w:tc>
          <w:tcPr>
            <w:tcW w:type="dxa" w:w="5227"/>
            <w:vAlign w:val="top"/>
          </w:tcPr>
          <w:p>
            <w:r>
              <w:t>GetStockAdjustment / list</w:t>
            </w:r>
          </w:p>
        </w:tc>
        <w:tc>
          <w:tcPr>
            <w:tcW w:type="dxa" w:w="5227"/>
            <w:vAlign w:val="top"/>
          </w:tcPr>
          <w:p>
            <w:r>
              <w:t>Operational document status/details needed to post/reverse safely.</w:t>
            </w:r>
          </w:p>
        </w:tc>
      </w:tr>
      <w:tr>
        <w:tc>
          <w:tcPr>
            <w:tcW w:type="dxa" w:w="5227"/>
            <w:vAlign w:val="top"/>
          </w:tcPr>
          <w:p>
            <w:r>
              <w:t>GetStockTransfer / list</w:t>
            </w:r>
          </w:p>
        </w:tc>
        <w:tc>
          <w:tcPr>
            <w:tcW w:type="dxa" w:w="5227"/>
            <w:vAlign w:val="top"/>
          </w:tcPr>
          <w:p>
            <w:r>
              <w:t>Operational document status/details needed to post safely.</w:t>
            </w:r>
          </w:p>
        </w:tc>
      </w:tr>
    </w:tbl>
    <w:p>
      <w:r>
        <w:t>All inventory read endpoints require Stock.View with an allowed read capability under the completed ARP-01 matrix. Auditor remains read-only.</w:t>
      </w:r>
    </w:p>
    <w:p>
      <w:pPr>
        <w:pStyle w:val="Heading1"/>
      </w:pPr>
      <w:r>
        <w:t>19. Inventory Commands / Vertical Slices</w:t>
      </w:r>
    </w:p>
    <w:tbl>
      <w:tblPr>
        <w:tblStyle w:val="TableGrid"/>
        <w:tblW w:type="auto" w:w="0"/>
        <w:jc w:val="center"/>
        <w:tblLook w:firstColumn="1" w:firstRow="1" w:lastColumn="0" w:lastRow="0" w:noHBand="0" w:noVBand="1" w:val="04A0"/>
      </w:tblPr>
      <w:tblGrid>
        <w:gridCol w:w="5227"/>
        <w:gridCol w:w="5227"/>
      </w:tblGrid>
      <w:tr>
        <w:tc>
          <w:tcPr>
            <w:tcW w:type="dxa" w:w="5227"/>
          </w:tcPr>
          <w:p>
            <w:r>
              <w:rPr>
                <w:b/>
              </w:rPr>
              <w:t>Feature area</w:t>
            </w:r>
          </w:p>
        </w:tc>
        <w:tc>
          <w:tcPr>
            <w:tcW w:type="dxa" w:w="5227"/>
          </w:tcPr>
          <w:p>
            <w:r>
              <w:rPr>
                <w:b/>
              </w:rPr>
              <w:t>Required slices</w:t>
            </w:r>
          </w:p>
        </w:tc>
      </w:tr>
      <w:tr>
        <w:tc>
          <w:tcPr>
            <w:tcW w:type="dxa" w:w="5227"/>
            <w:vAlign w:val="top"/>
          </w:tcPr>
          <w:p>
            <w:r>
              <w:t>OpeningBalances</w:t>
            </w:r>
          </w:p>
        </w:tc>
        <w:tc>
          <w:tcPr>
            <w:tcW w:type="dxa" w:w="5227"/>
            <w:vAlign w:val="top"/>
          </w:tcPr>
          <w:p>
            <w:r>
              <w:t>PostOpeningBalanceCommand (or Create+Post only if repository conventions require separation without changing semantics); explicit response.</w:t>
            </w:r>
          </w:p>
        </w:tc>
      </w:tr>
      <w:tr>
        <w:tc>
          <w:tcPr>
            <w:tcW w:type="dxa" w:w="5227"/>
            <w:vAlign w:val="top"/>
          </w:tcPr>
          <w:p>
            <w:r>
              <w:t>Adjustments</w:t>
            </w:r>
          </w:p>
        </w:tc>
        <w:tc>
          <w:tcPr>
            <w:tcW w:type="dxa" w:w="5227"/>
            <w:vAlign w:val="top"/>
          </w:tcPr>
          <w:p>
            <w:r>
              <w:t>CreateStockAdjustmentCommand; UpdateStockAdjustmentCommand; PostStockAdjustmentCommand; ReverseStockAdjustmentCommand; queries.</w:t>
            </w:r>
          </w:p>
        </w:tc>
      </w:tr>
      <w:tr>
        <w:tc>
          <w:tcPr>
            <w:tcW w:type="dxa" w:w="5227"/>
            <w:vAlign w:val="top"/>
          </w:tcPr>
          <w:p>
            <w:r>
              <w:t>Transfers</w:t>
            </w:r>
          </w:p>
        </w:tc>
        <w:tc>
          <w:tcPr>
            <w:tcW w:type="dxa" w:w="5227"/>
            <w:vAlign w:val="top"/>
          </w:tcPr>
          <w:p>
            <w:r>
              <w:t>CreateStockTransferCommand; UpdateStockTransferCommand; PostStockTransferCommand; queries.</w:t>
            </w:r>
          </w:p>
        </w:tc>
      </w:tr>
      <w:tr>
        <w:tc>
          <w:tcPr>
            <w:tcW w:type="dxa" w:w="5227"/>
            <w:vAlign w:val="top"/>
          </w:tcPr>
          <w:p>
            <w:r>
              <w:t>Negative-stock configuration</w:t>
            </w:r>
          </w:p>
        </w:tc>
        <w:tc>
          <w:tcPr>
            <w:tcW w:type="dxa" w:w="5227"/>
            <w:vAlign w:val="top"/>
          </w:tcPr>
          <w:p>
            <w:r>
              <w:t>UpdateWarehouseNegativeStockSettingCommand, authorized as configuration/master-data only according to existing accepted policy mapping; do not create a new permission code.</w:t>
            </w:r>
          </w:p>
        </w:tc>
      </w:tr>
      <w:tr>
        <w:tc>
          <w:tcPr>
            <w:tcW w:type="dxa" w:w="5227"/>
            <w:vAlign w:val="top"/>
          </w:tcPr>
          <w:p>
            <w:r>
              <w:t>Inventory engine internal services</w:t>
            </w:r>
          </w:p>
        </w:tc>
        <w:tc>
          <w:tcPr>
            <w:tcW w:type="dxa" w:w="5227"/>
            <w:vAlign w:val="top"/>
          </w:tcPr>
          <w:p>
            <w:r>
              <w:t>Transactional posting/balance/idempotency primitives reusable by later Invoice/GRN/Sales Order phases; not public bypass endpoints.</w:t>
            </w:r>
          </w:p>
        </w:tc>
      </w:tr>
      <w:tr>
        <w:tc>
          <w:tcPr>
            <w:tcW w:type="dxa" w:w="5227"/>
            <w:vAlign w:val="top"/>
          </w:tcPr>
          <w:p>
            <w:r>
              <w:t>Queries</w:t>
            </w:r>
          </w:p>
        </w:tc>
        <w:tc>
          <w:tcPr>
            <w:tcW w:type="dxa" w:w="5227"/>
            <w:vAlign w:val="top"/>
          </w:tcPr>
          <w:p>
            <w:r>
              <w:t>Stock balances, ledger history, reorder alerts and operational document retrieval.</w:t>
            </w:r>
          </w:p>
        </w:tc>
      </w:tr>
    </w:tbl>
    <w:p>
      <w:pPr>
        <w:pStyle w:val="Heading1"/>
      </w:pPr>
      <w:r>
        <w:t>20. Authorization Contract</w:t>
      </w:r>
    </w:p>
    <w:tbl>
      <w:tblPr>
        <w:tblStyle w:val="TableGrid"/>
        <w:tblW w:type="auto" w:w="0"/>
        <w:jc w:val="center"/>
        <w:tblLook w:firstColumn="1" w:firstRow="1" w:lastColumn="0" w:lastRow="0" w:noHBand="0" w:noVBand="1" w:val="04A0"/>
      </w:tblPr>
      <w:tblGrid>
        <w:gridCol w:w="5227"/>
        <w:gridCol w:w="5227"/>
      </w:tblGrid>
      <w:tr>
        <w:tc>
          <w:tcPr>
            <w:tcW w:type="dxa" w:w="5227"/>
          </w:tcPr>
          <w:p>
            <w:r>
              <w:rPr>
                <w:b/>
              </w:rPr>
              <w:t>Operation</w:t>
            </w:r>
          </w:p>
        </w:tc>
        <w:tc>
          <w:tcPr>
            <w:tcW w:type="dxa" w:w="5227"/>
          </w:tcPr>
          <w:p>
            <w:r>
              <w:rPr>
                <w:b/>
              </w:rPr>
              <w:t>Required parent permission/capability</w:t>
            </w:r>
          </w:p>
        </w:tc>
      </w:tr>
      <w:tr>
        <w:tc>
          <w:tcPr>
            <w:tcW w:type="dxa" w:w="5227"/>
            <w:vAlign w:val="top"/>
          </w:tcPr>
          <w:p>
            <w:r>
              <w:t>Inventory reads / ledger / balances / reorder alerts</w:t>
            </w:r>
          </w:p>
        </w:tc>
        <w:tc>
          <w:tcPr>
            <w:tcW w:type="dxa" w:w="5227"/>
            <w:vAlign w:val="top"/>
          </w:tcPr>
          <w:p>
            <w:r>
              <w:t>Stock.View with View or Full.</w:t>
            </w:r>
          </w:p>
        </w:tc>
      </w:tr>
      <w:tr>
        <w:tc>
          <w:tcPr>
            <w:tcW w:type="dxa" w:w="5227"/>
            <w:vAlign w:val="top"/>
          </w:tcPr>
          <w:p>
            <w:r>
              <w:t>Opening balance post</w:t>
            </w:r>
          </w:p>
        </w:tc>
        <w:tc>
          <w:tcPr>
            <w:tcW w:type="dxa" w:w="5227"/>
            <w:vAlign w:val="top"/>
          </w:tcPr>
          <w:p>
            <w:r>
              <w:t>Stock.OpeningBalance with Full. View capability is read-only.</w:t>
            </w:r>
          </w:p>
        </w:tc>
      </w:tr>
      <w:tr>
        <w:tc>
          <w:tcPr>
            <w:tcW w:type="dxa" w:w="5227"/>
            <w:vAlign w:val="top"/>
          </w:tcPr>
          <w:p>
            <w:r>
              <w:t>Create/edit stock adjustment</w:t>
            </w:r>
          </w:p>
        </w:tc>
        <w:tc>
          <w:tcPr>
            <w:tcW w:type="dxa" w:w="5227"/>
            <w:vAlign w:val="top"/>
          </w:tcPr>
          <w:p>
            <w:r>
              <w:t>Stock.Adjust with Create/Edit or Full.</w:t>
            </w:r>
          </w:p>
        </w:tc>
      </w:tr>
      <w:tr>
        <w:tc>
          <w:tcPr>
            <w:tcW w:type="dxa" w:w="5227"/>
            <w:vAlign w:val="top"/>
          </w:tcPr>
          <w:p>
            <w:r>
              <w:t>Post/reverse stock adjustment</w:t>
            </w:r>
          </w:p>
        </w:tc>
        <w:tc>
          <w:tcPr>
            <w:tcW w:type="dxa" w:w="5227"/>
            <w:vAlign w:val="top"/>
          </w:tcPr>
          <w:p>
            <w:r>
              <w:t>Stock.Post with Post or Full, plus valid adjustment access; Warehouse Manager/System Administrator Full satisfy both. Warehouse User has Create/Edit on Stock.Adjust and Post on Stock.Post.</w:t>
            </w:r>
          </w:p>
        </w:tc>
      </w:tr>
      <w:tr>
        <w:tc>
          <w:tcPr>
            <w:tcW w:type="dxa" w:w="5227"/>
            <w:vAlign w:val="top"/>
          </w:tcPr>
          <w:p>
            <w:r>
              <w:t>Create/edit transfer</w:t>
            </w:r>
          </w:p>
        </w:tc>
        <w:tc>
          <w:tcPr>
            <w:tcW w:type="dxa" w:w="5227"/>
            <w:vAlign w:val="top"/>
          </w:tcPr>
          <w:p>
            <w:r>
              <w:t>Stock.Transfer with Create/Edit or Full.</w:t>
            </w:r>
          </w:p>
        </w:tc>
      </w:tr>
      <w:tr>
        <w:tc>
          <w:tcPr>
            <w:tcW w:type="dxa" w:w="5227"/>
            <w:vAlign w:val="top"/>
          </w:tcPr>
          <w:p>
            <w:r>
              <w:t>Post transfer</w:t>
            </w:r>
          </w:p>
        </w:tc>
        <w:tc>
          <w:tcPr>
            <w:tcW w:type="dxa" w:w="5227"/>
            <w:vAlign w:val="top"/>
          </w:tcPr>
          <w:p>
            <w:r>
              <w:t>Stock.Post with Post or Full, plus valid transfer access.</w:t>
            </w:r>
          </w:p>
        </w:tc>
      </w:tr>
      <w:tr>
        <w:tc>
          <w:tcPr>
            <w:tcW w:type="dxa" w:w="5227"/>
            <w:vAlign w:val="top"/>
          </w:tcPr>
          <w:p>
            <w:r>
              <w:t>Negative-stock warehouse setting</w:t>
            </w:r>
          </w:p>
        </w:tc>
        <w:tc>
          <w:tcPr>
            <w:tcW w:type="dxa" w:w="5227"/>
            <w:vAlign w:val="top"/>
          </w:tcPr>
          <w:p>
            <w:r>
              <w:t>Use an existing applicable configuration/master-data permission from ARP-01; no new permission code may be invented. The implementation must document the selected existing policy and preserve the parent matrix.</w:t>
            </w:r>
          </w:p>
        </w:tc>
      </w:tr>
    </w:tbl>
    <w:p>
      <w:pPr>
        <w:pStyle w:val="ListBullet"/>
      </w:pPr>
      <w:r>
        <w:t>Every endpoint authenticated unless explicitly public; Phase 4 adds no public endpoints.</w:t>
      </w:r>
    </w:p>
    <w:p>
      <w:pPr>
        <w:pStyle w:val="ListBullet"/>
      </w:pPr>
      <w:r>
        <w:t>Every command endpoint has a policy requirement.</w:t>
      </w:r>
    </w:p>
    <w:p>
      <w:pPr>
        <w:pStyle w:val="ListBullet"/>
      </w:pPr>
      <w:r>
        <w:t>Auditor access is read-only and cannot execute inventory commands.</w:t>
      </w:r>
    </w:p>
    <w:p>
      <w:pPr>
        <w:pStyle w:val="ListBullet"/>
      </w:pPr>
      <w:r>
        <w:t>Do not authorize by role-name checks when the parent requires permission/capability policies.</w:t>
      </w:r>
    </w:p>
    <w:p>
      <w:pPr>
        <w:pStyle w:val="ListBullet"/>
      </w:pPr>
      <w:r>
        <w:t>Object-level warehouse scope is enforced only where configured by an accepted model; do not invent branch/company scope.</w:t>
      </w:r>
    </w:p>
    <w:p>
      <w:pPr>
        <w:pStyle w:val="Heading1"/>
      </w:pPr>
      <w:r>
        <w:t>21. Audit Requirements</w:t>
      </w:r>
    </w:p>
    <w:p>
      <w:pPr>
        <w:pStyle w:val="ListBullet"/>
      </w:pPr>
      <w:r>
        <w:t>Reuse the existing ARP-01 audit mechanism; do not build a competing audit subsystem.</w:t>
      </w:r>
    </w:p>
    <w:p>
      <w:pPr>
        <w:pStyle w:val="ListBullet"/>
      </w:pPr>
      <w:r>
        <w:t>Record inventory create/update/post/reverse actions as required by FR-ADM-007.</w:t>
      </w:r>
    </w:p>
    <w:p>
      <w:pPr>
        <w:pStyle w:val="ListBullet"/>
      </w:pPr>
      <w:r>
        <w:t>Audit includes user, timestamp, action, entity, entity ID, old/new values where applicable, and correlation ID per FR-ADM-008.</w:t>
      </w:r>
    </w:p>
    <w:p>
      <w:pPr>
        <w:pStyle w:val="ListBullet"/>
      </w:pPr>
      <w:r>
        <w:t>Normal users cannot edit audit records.</w:t>
      </w:r>
    </w:p>
    <w:p>
      <w:pPr>
        <w:pStyle w:val="ListBullet"/>
      </w:pPr>
      <w:r>
        <w:t>Do not log secrets or unnecessary security-token data.</w:t>
      </w:r>
    </w:p>
    <w:p>
      <w:pPr>
        <w:pStyle w:val="ListBullet"/>
      </w:pPr>
      <w:r>
        <w:t>Ledger itself is not a substitute for audit; both have distinct purposes.</w:t>
      </w:r>
    </w:p>
    <w:p>
      <w:pPr>
        <w:pStyle w:val="Heading1"/>
      </w:pPr>
      <w:r>
        <w:t>22. SQL Server Persistence Requirements</w:t>
      </w:r>
    </w:p>
    <w:p>
      <w:pPr>
        <w:pStyle w:val="ListBullet"/>
      </w:pPr>
      <w:r>
        <w:t>StockLedgerEntry is append-only by application contract and has relational keys/indexes supporting product/warehouse/source/reversal lookup.</w:t>
      </w:r>
    </w:p>
    <w:p>
      <w:pPr>
        <w:pStyle w:val="ListBullet"/>
      </w:pPr>
      <w:r>
        <w:t>StockBalance has unique ProductId + WarehouseId and SQL Server rowversion concurrency token.</w:t>
      </w:r>
    </w:p>
    <w:p>
      <w:pPr>
        <w:pStyle w:val="ListBullet"/>
      </w:pPr>
      <w:r>
        <w:t>Inventory document tables/mappings enforce valid relationships and statuses needed by this phase.</w:t>
      </w:r>
    </w:p>
    <w:p>
      <w:pPr>
        <w:pStyle w:val="ListBullet"/>
      </w:pPr>
      <w:r>
        <w:t>Source-document uniqueness/idempotency is enforced relationally.</w:t>
      </w:r>
    </w:p>
    <w:p>
      <w:pPr>
        <w:pStyle w:val="ListBullet"/>
      </w:pPr>
      <w:r>
        <w:t>Reversal uniqueness prevents double reversal.</w:t>
      </w:r>
    </w:p>
    <w:p>
      <w:pPr>
        <w:pStyle w:val="ListBullet"/>
      </w:pPr>
      <w:r>
        <w:t>Decimal quantity/cost columns use explicit precision/scale.</w:t>
      </w:r>
    </w:p>
    <w:p>
      <w:pPr>
        <w:pStyle w:val="ListBullet"/>
      </w:pPr>
      <w:r>
        <w:t>Foreign keys reference existing Product, Warehouse and User/security identities as appropriate.</w:t>
      </w:r>
    </w:p>
    <w:p>
      <w:pPr>
        <w:pStyle w:val="ListBullet"/>
      </w:pPr>
      <w:r>
        <w:t>Migration contains only approved Phase-4 changes.</w:t>
      </w:r>
    </w:p>
    <w:p>
      <w:pPr>
        <w:pStyle w:val="ListBullet"/>
      </w:pPr>
      <w:r>
        <w:t>Do not seed operational stock balances/ledger transactions into production migration unless the parent explicitly requires them.</w:t>
      </w:r>
    </w:p>
    <w:p>
      <w:pPr>
        <w:pStyle w:val="ListBullet"/>
      </w:pPr>
      <w:r>
        <w:t>Use real SQL Server integration tests for rowversion, uniqueness, transactions and concurrency. EF InMemory is not acceptable proof.</w:t>
      </w:r>
    </w:p>
    <w:p>
      <w:pPr>
        <w:pStyle w:val="Heading1"/>
      </w:pPr>
      <w:r>
        <w:t>23. Transaction Boundaries</w:t>
      </w:r>
    </w:p>
    <w:tbl>
      <w:tblPr>
        <w:tblStyle w:val="TableGrid"/>
        <w:tblW w:type="auto" w:w="0"/>
        <w:jc w:val="center"/>
        <w:tblLook w:firstColumn="1" w:firstRow="1" w:lastColumn="0" w:lastRow="0" w:noHBand="0" w:noVBand="1" w:val="04A0"/>
      </w:tblPr>
      <w:tblGrid>
        <w:gridCol w:w="5227"/>
        <w:gridCol w:w="5227"/>
      </w:tblGrid>
      <w:tr>
        <w:tc>
          <w:tcPr>
            <w:tcW w:type="dxa" w:w="5227"/>
          </w:tcPr>
          <w:p>
            <w:r>
              <w:rPr>
                <w:b/>
              </w:rPr>
              <w:t>Posting</w:t>
            </w:r>
          </w:p>
        </w:tc>
        <w:tc>
          <w:tcPr>
            <w:tcW w:type="dxa" w:w="5227"/>
          </w:tcPr>
          <w:p>
            <w:r>
              <w:rPr>
                <w:b/>
              </w:rPr>
              <w:t>Atomic unit</w:t>
            </w:r>
          </w:p>
        </w:tc>
      </w:tr>
      <w:tr>
        <w:tc>
          <w:tcPr>
            <w:tcW w:type="dxa" w:w="5227"/>
            <w:vAlign w:val="top"/>
          </w:tcPr>
          <w:p>
            <w:r>
              <w:t>Opening balance</w:t>
            </w:r>
          </w:p>
        </w:tc>
        <w:tc>
          <w:tcPr>
            <w:tcW w:type="dxa" w:w="5227"/>
            <w:vAlign w:val="top"/>
          </w:tcPr>
          <w:p>
            <w:r>
              <w:t>Document/source state + ledger receipt + StockBalance + weighted average + reorder state + audit.</w:t>
            </w:r>
          </w:p>
        </w:tc>
      </w:tr>
      <w:tr>
        <w:tc>
          <w:tcPr>
            <w:tcW w:type="dxa" w:w="5227"/>
            <w:vAlign w:val="top"/>
          </w:tcPr>
          <w:p>
            <w:r>
              <w:t>Adjustment post</w:t>
            </w:r>
          </w:p>
        </w:tc>
        <w:tc>
          <w:tcPr>
            <w:tcW w:type="dxa" w:w="5227"/>
            <w:vAlign w:val="top"/>
          </w:tcPr>
          <w:p>
            <w:r>
              <w:t>Adjustment status + ledger effect + StockBalance + valuation + reorder state + audit.</w:t>
            </w:r>
          </w:p>
        </w:tc>
      </w:tr>
      <w:tr>
        <w:tc>
          <w:tcPr>
            <w:tcW w:type="dxa" w:w="5227"/>
            <w:vAlign w:val="top"/>
          </w:tcPr>
          <w:p>
            <w:r>
              <w:t>Adjustment reversal</w:t>
            </w:r>
          </w:p>
        </w:tc>
        <w:tc>
          <w:tcPr>
            <w:tcW w:type="dxa" w:w="5227"/>
            <w:vAlign w:val="top"/>
          </w:tcPr>
          <w:p>
            <w:r>
              <w:t>Reversal state + reversal ledger effect + StockBalance/valuation effect + reorder state + audit.</w:t>
            </w:r>
          </w:p>
        </w:tc>
      </w:tr>
      <w:tr>
        <w:tc>
          <w:tcPr>
            <w:tcW w:type="dxa" w:w="5227"/>
            <w:vAlign w:val="top"/>
          </w:tcPr>
          <w:p>
            <w:r>
              <w:t>Transfer post</w:t>
            </w:r>
          </w:p>
        </w:tc>
        <w:tc>
          <w:tcPr>
            <w:tcW w:type="dxa" w:w="5227"/>
            <w:vAlign w:val="top"/>
          </w:tcPr>
          <w:p>
            <w:r>
              <w:t>Transfer status + source OUT + destination IN + both balances + valuation effects + reorder state + audit.</w:t>
            </w:r>
          </w:p>
        </w:tc>
      </w:tr>
      <w:tr>
        <w:tc>
          <w:tcPr>
            <w:tcW w:type="dxa" w:w="5227"/>
            <w:vAlign w:val="top"/>
          </w:tcPr>
          <w:p>
            <w:r>
              <w:t>Future Invoice/GRN integration</w:t>
            </w:r>
          </w:p>
        </w:tc>
        <w:tc>
          <w:tcPr>
            <w:tcW w:type="dxa" w:w="5227"/>
            <w:vAlign w:val="top"/>
          </w:tcPr>
          <w:p>
            <w:r>
              <w:t>The inventory engine must expose a transaction-compatible path so the later business document and stock effect can share one DB transaction; end-to-end document integration is deferred.</w:t>
            </w:r>
          </w:p>
        </w:tc>
      </w:tr>
    </w:tbl>
    <w:p>
      <w:pPr>
        <w:pStyle w:val="Heading1"/>
      </w:pPr>
      <w:r>
        <w:t>24. Concurrency Requirements</w:t>
      </w:r>
    </w:p>
    <w:p>
      <w:pPr>
        <w:pStyle w:val="ListBullet"/>
      </w:pPr>
      <w:r>
        <w:t>StockBalance RowVersion is configured with SQL Server rowversion/IsRowVersion semantics.</w:t>
      </w:r>
    </w:p>
    <w:p>
      <w:pPr>
        <w:pStyle w:val="ListBullet"/>
      </w:pPr>
      <w:r>
        <w:t>Concurrent stock-consuming operations must not both succeed when doing so violates negative-stock rules.</w:t>
      </w:r>
    </w:p>
    <w:p>
      <w:pPr>
        <w:pStyle w:val="ListBullet"/>
      </w:pPr>
      <w:r>
        <w:t>On concurrency conflict, retry is allowed only if the complete business invariant is re-evaluated against fresh state; blind overwrite is forbidden.</w:t>
      </w:r>
    </w:p>
    <w:p>
      <w:pPr>
        <w:pStyle w:val="ListBullet"/>
      </w:pPr>
      <w:r>
        <w:t>Transfer locks/updates both affected balances in a deterministic, deadlock-conscious manner.</w:t>
      </w:r>
    </w:p>
    <w:p>
      <w:pPr>
        <w:pStyle w:val="ListBullet"/>
      </w:pPr>
      <w:r>
        <w:t>Idempotency and concurrency protections must work together: retrying after an uncertain response must not double-post.</w:t>
      </w:r>
    </w:p>
    <w:p>
      <w:pPr>
        <w:pStyle w:val="ListBullet"/>
      </w:pPr>
      <w:r>
        <w:t>Tests must use separate DbContext/request scopes to prove real concurrency behavior.</w:t>
      </w:r>
    </w:p>
    <w:p>
      <w:pPr>
        <w:pStyle w:val="Heading1"/>
      </w:pPr>
      <w:r>
        <w:t>25. Deferred Integration Contracts</w:t>
      </w:r>
    </w:p>
    <w:p>
      <w:r>
        <w:t>The following parent requirements are inventory requirements but depend on modules intentionally scheduled later. Phase 4 must prepare the engine and tests for its generic behavior but must not fabricate those domains.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rPr>
                <w:b/>
              </w:rPr>
              <w:t>Requirement</w:t>
            </w:r>
          </w:p>
        </w:tc>
        <w:tc>
          <w:tcPr>
            <w:tcW w:type="dxa" w:w="3485"/>
          </w:tcPr>
          <w:p>
            <w:r>
              <w:rPr>
                <w:b/>
              </w:rPr>
              <w:t>Phase-4 status</w:t>
            </w:r>
          </w:p>
        </w:tc>
        <w:tc>
          <w:tcPr>
            <w:tcW w:type="dxa" w:w="3485"/>
          </w:tcPr>
          <w:p>
            <w:r>
              <w:rPr>
                <w:b/>
              </w:rPr>
              <w:t>Later proof</w:t>
            </w:r>
          </w:p>
        </w:tc>
      </w:tr>
      <w:tr>
        <w:tc>
          <w:tcPr>
            <w:tcW w:type="dxa" w:w="3485"/>
            <w:vAlign w:val="top"/>
          </w:tcPr>
          <w:p>
            <w:r>
              <w:t>FR-STK-006 Sales invoice stock issue</w:t>
            </w:r>
          </w:p>
        </w:tc>
        <w:tc>
          <w:tcPr>
            <w:tcW w:type="dxa" w:w="3485"/>
            <w:vAlign w:val="top"/>
          </w:tcPr>
          <w:p>
            <w:r>
              <w:t>Engine supports atomic issue posting, idempotent source reference, balance/concurrency/negative-stock rules. No Invoice endpoint/model is created.</w:t>
            </w:r>
          </w:p>
        </w:tc>
        <w:tc>
          <w:tcPr>
            <w:tcW w:type="dxa" w:w="3485"/>
            <w:vAlign w:val="top"/>
          </w:tcPr>
          <w:p>
            <w:r>
              <w:t>Billing/Invoice phase proves invoice + stock issue in same transaction and US-BIL-001/003.</w:t>
            </w:r>
          </w:p>
        </w:tc>
      </w:tr>
      <w:tr>
        <w:tc>
          <w:tcPr>
            <w:tcW w:type="dxa" w:w="3485"/>
            <w:vAlign w:val="top"/>
          </w:tcPr>
          <w:p>
            <w:r>
              <w:t>FR-STK-007 GRN stock receipt</w:t>
            </w:r>
          </w:p>
        </w:tc>
        <w:tc>
          <w:tcPr>
            <w:tcW w:type="dxa" w:w="3485"/>
            <w:vAlign w:val="top"/>
          </w:tcPr>
          <w:p>
            <w:r>
              <w:t>Engine supports atomic receipt posting and weighted-average update. No GRN endpoint/model is created.</w:t>
            </w:r>
          </w:p>
        </w:tc>
        <w:tc>
          <w:tcPr>
            <w:tcW w:type="dxa" w:w="3485"/>
            <w:vAlign w:val="top"/>
          </w:tcPr>
          <w:p>
            <w:r>
              <w:t>Purchasing phase proves GRN + receipt in same transaction and US-PUR-001.</w:t>
            </w:r>
          </w:p>
        </w:tc>
      </w:tr>
      <w:tr>
        <w:tc>
          <w:tcPr>
            <w:tcW w:type="dxa" w:w="3485"/>
            <w:vAlign w:val="top"/>
          </w:tcPr>
          <w:p>
            <w:r>
              <w:t>QtyReserved changes from Sales Orders</w:t>
            </w:r>
          </w:p>
        </w:tc>
        <w:tc>
          <w:tcPr>
            <w:tcW w:type="dxa" w:w="3485"/>
            <w:vAlign w:val="top"/>
          </w:tcPr>
          <w:p>
            <w:r>
              <w:t>StockBalance models QtyReserved and engine provides safe internal reservation semantics if needed, but no Sales Order API.</w:t>
            </w:r>
          </w:p>
        </w:tc>
        <w:tc>
          <w:tcPr>
            <w:tcW w:type="dxa" w:w="3485"/>
            <w:vAlign w:val="top"/>
          </w:tcPr>
          <w:p>
            <w:r>
              <w:t>Sales phase proves US-BIL-002/003 and idempotent reservation/release.</w:t>
            </w:r>
          </w:p>
        </w:tc>
      </w:tr>
      <w:tr>
        <w:tc>
          <w:tcPr>
            <w:tcW w:type="dxa" w:w="3485"/>
            <w:vAlign w:val="top"/>
          </w:tcPr>
          <w:p>
            <w:r>
              <w:t>FR-RPT-002/004/005 reports</w:t>
            </w:r>
          </w:p>
        </w:tc>
        <w:tc>
          <w:tcPr>
            <w:tcW w:type="dxa" w:w="3485"/>
            <w:vAlign w:val="top"/>
          </w:tcPr>
          <w:p>
            <w:r>
              <w:t>Inventory data is queryable; no Dapper report/export implementation.</w:t>
            </w:r>
          </w:p>
        </w:tc>
        <w:tc>
          <w:tcPr>
            <w:tcW w:type="dxa" w:w="3485"/>
            <w:vAlign w:val="top"/>
          </w:tcPr>
          <w:p>
            <w:r>
              <w:t>Reporting phase.</w:t>
            </w:r>
          </w:p>
        </w:tc>
      </w:tr>
    </w:tbl>
    <w:p>
      <w:r>
        <w:t>These are explicit dependency deferrals, not permission to weaken the inventory engine. INV-01 completion means every Phase-4-owned behavior is complete and the listed cross-module end-to-end proofs remain traceably deferred.</w:t>
      </w:r>
    </w:p>
    <w:p>
      <w:pPr>
        <w:pStyle w:val="Heading1"/>
      </w:pPr>
      <w:r>
        <w:t>26. Error Semantics</w:t>
      </w:r>
    </w:p>
    <w:tbl>
      <w:tblPr>
        <w:tblStyle w:val="TableGrid"/>
        <w:tblW w:type="auto" w:w="0"/>
        <w:jc w:val="center"/>
        <w:tblLook w:firstColumn="1" w:firstRow="1" w:lastColumn="0" w:lastRow="0" w:noHBand="0" w:noVBand="1" w:val="04A0"/>
      </w:tblPr>
      <w:tblGrid>
        <w:gridCol w:w="5227"/>
        <w:gridCol w:w="5227"/>
      </w:tblGrid>
      <w:tr>
        <w:tc>
          <w:tcPr>
            <w:tcW w:type="dxa" w:w="5227"/>
          </w:tcPr>
          <w:p>
            <w:r>
              <w:rPr>
                <w:b/>
              </w:rPr>
              <w:t>Condition</w:t>
            </w:r>
          </w:p>
        </w:tc>
        <w:tc>
          <w:tcPr>
            <w:tcW w:type="dxa" w:w="5227"/>
          </w:tcPr>
          <w:p>
            <w:r>
              <w:rPr>
                <w:b/>
              </w:rPr>
              <w:t>Required behavior</w:t>
            </w:r>
          </w:p>
        </w:tc>
      </w:tr>
      <w:tr>
        <w:tc>
          <w:tcPr>
            <w:tcW w:type="dxa" w:w="5227"/>
            <w:vAlign w:val="top"/>
          </w:tcPr>
          <w:p>
            <w:r>
              <w:t>Inactive/unknown Product or Warehouse</w:t>
            </w:r>
          </w:p>
        </w:tc>
        <w:tc>
          <w:tcPr>
            <w:tcW w:type="dxa" w:w="5227"/>
            <w:vAlign w:val="top"/>
          </w:tcPr>
          <w:p>
            <w:r>
              <w:t>Controlled validation/not-found response; no posting.</w:t>
            </w:r>
          </w:p>
        </w:tc>
      </w:tr>
      <w:tr>
        <w:tc>
          <w:tcPr>
            <w:tcW w:type="dxa" w:w="5227"/>
            <w:vAlign w:val="top"/>
          </w:tcPr>
          <w:p>
            <w:r>
              <w:t>Insufficient stock with negative disabled</w:t>
            </w:r>
          </w:p>
        </w:tc>
        <w:tc>
          <w:tcPr>
            <w:tcW w:type="dxa" w:w="5227"/>
            <w:vAlign w:val="top"/>
          </w:tcPr>
          <w:p>
            <w:r>
              <w:t>Controlled insufficient-stock conflict/domain error; no partial writes.</w:t>
            </w:r>
          </w:p>
        </w:tc>
      </w:tr>
      <w:tr>
        <w:tc>
          <w:tcPr>
            <w:tcW w:type="dxa" w:w="5227"/>
            <w:vAlign w:val="top"/>
          </w:tcPr>
          <w:p>
            <w:r>
              <w:t>Rowversion conflict</w:t>
            </w:r>
          </w:p>
        </w:tc>
        <w:tc>
          <w:tcPr>
            <w:tcW w:type="dxa" w:w="5227"/>
            <w:vAlign w:val="top"/>
          </w:tcPr>
          <w:p>
            <w:r>
              <w:t>Controlled concurrency conflict; no silent overwrite.</w:t>
            </w:r>
          </w:p>
        </w:tc>
      </w:tr>
      <w:tr>
        <w:tc>
          <w:tcPr>
            <w:tcW w:type="dxa" w:w="5227"/>
            <w:vAlign w:val="top"/>
          </w:tcPr>
          <w:p>
            <w:r>
              <w:t>Duplicate source posting</w:t>
            </w:r>
          </w:p>
        </w:tc>
        <w:tc>
          <w:tcPr>
            <w:tcW w:type="dxa" w:w="5227"/>
            <w:vAlign w:val="top"/>
          </w:tcPr>
          <w:p>
            <w:r>
              <w:t>Idempotent existing result/controlled response; no duplicate stock effect.</w:t>
            </w:r>
          </w:p>
        </w:tc>
      </w:tr>
      <w:tr>
        <w:tc>
          <w:tcPr>
            <w:tcW w:type="dxa" w:w="5227"/>
            <w:vAlign w:val="top"/>
          </w:tcPr>
          <w:p>
            <w:r>
              <w:t>Already reversed posting</w:t>
            </w:r>
          </w:p>
        </w:tc>
        <w:tc>
          <w:tcPr>
            <w:tcW w:type="dxa" w:w="5227"/>
            <w:vAlign w:val="top"/>
          </w:tcPr>
          <w:p>
            <w:r>
              <w:t>Idempotent/controlled rejection; no second reversal.</w:t>
            </w:r>
          </w:p>
        </w:tc>
      </w:tr>
      <w:tr>
        <w:tc>
          <w:tcPr>
            <w:tcW w:type="dxa" w:w="5227"/>
            <w:vAlign w:val="top"/>
          </w:tcPr>
          <w:p>
            <w:r>
              <w:t>Unauthorized command</w:t>
            </w:r>
          </w:p>
        </w:tc>
        <w:tc>
          <w:tcPr>
            <w:tcW w:type="dxa" w:w="5227"/>
            <w:vAlign w:val="top"/>
          </w:tcPr>
          <w:p>
            <w:r>
              <w:t>403 using ARP-01 behavior.</w:t>
            </w:r>
          </w:p>
        </w:tc>
      </w:tr>
      <w:tr>
        <w:tc>
          <w:tcPr>
            <w:tcW w:type="dxa" w:w="5227"/>
            <w:vAlign w:val="top"/>
          </w:tcPr>
          <w:p>
            <w:r>
              <w:t>Unauthenticated request</w:t>
            </w:r>
          </w:p>
        </w:tc>
        <w:tc>
          <w:tcPr>
            <w:tcW w:type="dxa" w:w="5227"/>
            <w:vAlign w:val="top"/>
          </w:tcPr>
          <w:p>
            <w:r>
              <w:t>401.</w:t>
            </w:r>
          </w:p>
        </w:tc>
      </w:tr>
      <w:tr>
        <w:tc>
          <w:tcPr>
            <w:tcW w:type="dxa" w:w="5227"/>
            <w:vAlign w:val="top"/>
          </w:tcPr>
          <w:p>
            <w:r>
              <w:t>Invalid reason/zero quantity/same transfer warehouses</w:t>
            </w:r>
          </w:p>
        </w:tc>
        <w:tc>
          <w:tcPr>
            <w:tcW w:type="dxa" w:w="5227"/>
            <w:vAlign w:val="top"/>
          </w:tcPr>
          <w:p>
            <w:r>
              <w:t>Validation failure; no persistence side effects.</w:t>
            </w:r>
          </w:p>
        </w:tc>
      </w:tr>
      <w:tr>
        <w:tc>
          <w:tcPr>
            <w:tcW w:type="dxa" w:w="5227"/>
            <w:vAlign w:val="top"/>
          </w:tcPr>
          <w:p>
            <w:r>
              <w:t>Unexpected exception</w:t>
            </w:r>
          </w:p>
        </w:tc>
        <w:tc>
          <w:tcPr>
            <w:tcW w:type="dxa" w:w="5227"/>
            <w:vAlign w:val="top"/>
          </w:tcPr>
          <w:p>
            <w:r>
              <w:t>Existing ProblemDetails/global exception handling; transaction rolled back.</w:t>
            </w:r>
          </w:p>
        </w:tc>
      </w:tr>
    </w:tbl>
    <w:p>
      <w:pPr>
        <w:pStyle w:val="Heading1"/>
      </w:pPr>
      <w:r>
        <w:t>27. Required Automated Tests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rPr>
                <w:b/>
              </w:rPr>
              <w:t>ID</w:t>
            </w:r>
          </w:p>
        </w:tc>
        <w:tc>
          <w:tcPr>
            <w:tcW w:type="dxa" w:w="3485"/>
          </w:tcPr>
          <w:p>
            <w:r>
              <w:rPr>
                <w:b/>
              </w:rPr>
              <w:t>Type</w:t>
            </w:r>
          </w:p>
        </w:tc>
        <w:tc>
          <w:tcPr>
            <w:tcW w:type="dxa" w:w="3485"/>
          </w:tcPr>
          <w:p>
            <w:r>
              <w:rPr>
                <w:b/>
              </w:rPr>
              <w:t>Required proof</w:t>
            </w:r>
          </w:p>
        </w:tc>
      </w:tr>
      <w:tr>
        <w:tc>
          <w:tcPr>
            <w:tcW w:type="dxa" w:w="3485"/>
            <w:vAlign w:val="top"/>
          </w:tcPr>
          <w:p>
            <w:r>
              <w:t>INV-T-001</w:t>
            </w:r>
          </w:p>
        </w:tc>
        <w:tc>
          <w:tcPr>
            <w:tcW w:type="dxa" w:w="3485"/>
            <w:vAlign w:val="top"/>
          </w:tcPr>
          <w:p>
            <w:r>
              <w:t>Architecture</w:t>
            </w:r>
          </w:p>
        </w:tc>
        <w:tc>
          <w:tcPr>
            <w:tcW w:type="dxa" w:w="3485"/>
            <w:vAlign w:val="top"/>
          </w:tcPr>
          <w:p>
            <w:r>
              <w:t>New inventory slices preserve project/layer dependencies and MD-01 v3 contract conventions.</w:t>
            </w:r>
          </w:p>
        </w:tc>
      </w:tr>
      <w:tr>
        <w:tc>
          <w:tcPr>
            <w:tcW w:type="dxa" w:w="3485"/>
            <w:vAlign w:val="top"/>
          </w:tcPr>
          <w:p>
            <w:r>
              <w:t>INV-T-002</w:t>
            </w:r>
          </w:p>
        </w:tc>
        <w:tc>
          <w:tcPr>
            <w:tcW w:type="dxa" w:w="3485"/>
            <w:vAlign w:val="top"/>
          </w:tcPr>
          <w:p>
            <w:r>
              <w:t>SQL integration</w:t>
            </w:r>
          </w:p>
        </w:tc>
        <w:tc>
          <w:tcPr>
            <w:tcW w:type="dxa" w:w="3485"/>
            <w:vAlign w:val="top"/>
          </w:tcPr>
          <w:p>
            <w:r>
              <w:t>StockBalance unique Product+Warehouse and uses SQL Server rowversion.</w:t>
            </w:r>
          </w:p>
        </w:tc>
      </w:tr>
      <w:tr>
        <w:tc>
          <w:tcPr>
            <w:tcW w:type="dxa" w:w="3485"/>
            <w:vAlign w:val="top"/>
          </w:tcPr>
          <w:p>
            <w:r>
              <w:t>INV-T-003</w:t>
            </w:r>
          </w:p>
        </w:tc>
        <w:tc>
          <w:tcPr>
            <w:tcW w:type="dxa" w:w="3485"/>
            <w:vAlign w:val="top"/>
          </w:tcPr>
          <w:p>
            <w:r>
              <w:t>SQL integration</w:t>
            </w:r>
          </w:p>
        </w:tc>
        <w:tc>
          <w:tcPr>
            <w:tcW w:type="dxa" w:w="3485"/>
            <w:vAlign w:val="top"/>
          </w:tcPr>
          <w:p>
            <w:r>
              <w:t>Ledger entries are append-only through application API; no update/delete path exists.</w:t>
            </w:r>
          </w:p>
        </w:tc>
      </w:tr>
      <w:tr>
        <w:tc>
          <w:tcPr>
            <w:tcW w:type="dxa" w:w="3485"/>
            <w:vAlign w:val="top"/>
          </w:tcPr>
          <w:p>
            <w:r>
              <w:t>INV-T-004</w:t>
            </w:r>
          </w:p>
        </w:tc>
        <w:tc>
          <w:tcPr>
            <w:tcW w:type="dxa" w:w="3485"/>
            <w:vAlign w:val="top"/>
          </w:tcPr>
          <w:p>
            <w:r>
              <w:t>Integration</w:t>
            </w:r>
          </w:p>
        </w:tc>
        <w:tc>
          <w:tcPr>
            <w:tcW w:type="dxa" w:w="3485"/>
            <w:vAlign w:val="top"/>
          </w:tcPr>
          <w:p>
            <w:r>
              <w:t>AvailableQuantity equals QtyOnHand - QtyReserved.</w:t>
            </w:r>
          </w:p>
        </w:tc>
      </w:tr>
      <w:tr>
        <w:tc>
          <w:tcPr>
            <w:tcW w:type="dxa" w:w="3485"/>
            <w:vAlign w:val="top"/>
          </w:tcPr>
          <w:p>
            <w:r>
              <w:t>INV-T-005</w:t>
            </w:r>
          </w:p>
        </w:tc>
        <w:tc>
          <w:tcPr>
            <w:tcW w:type="dxa" w:w="3485"/>
            <w:vAlign w:val="top"/>
          </w:tcPr>
          <w:p>
            <w:r>
              <w:t>Unit/SQL</w:t>
            </w:r>
          </w:p>
        </w:tc>
        <w:tc>
          <w:tcPr>
            <w:tcW w:type="dxa" w:w="3485"/>
            <w:vAlign w:val="top"/>
          </w:tcPr>
          <w:p>
            <w:r>
              <w:t>Receipt recalculates weighted average correctly.</w:t>
            </w:r>
          </w:p>
        </w:tc>
      </w:tr>
      <w:tr>
        <w:tc>
          <w:tcPr>
            <w:tcW w:type="dxa" w:w="3485"/>
            <w:vAlign w:val="top"/>
          </w:tcPr>
          <w:p>
            <w:r>
              <w:t>INV-T-006</w:t>
            </w:r>
          </w:p>
        </w:tc>
        <w:tc>
          <w:tcPr>
            <w:tcW w:type="dxa" w:w="3485"/>
            <w:vAlign w:val="top"/>
          </w:tcPr>
          <w:p>
            <w:r>
              <w:t>Unit/SQL</w:t>
            </w:r>
          </w:p>
        </w:tc>
        <w:tc>
          <w:tcPr>
            <w:tcW w:type="dxa" w:w="3485"/>
            <w:vAlign w:val="top"/>
          </w:tcPr>
          <w:p>
            <w:r>
              <w:t>Issue reduces quantity without incorrectly recalculating average cost.</w:t>
            </w:r>
          </w:p>
        </w:tc>
      </w:tr>
      <w:tr>
        <w:tc>
          <w:tcPr>
            <w:tcW w:type="dxa" w:w="3485"/>
            <w:vAlign w:val="top"/>
          </w:tcPr>
          <w:p>
            <w:r>
              <w:t>INV-T-007</w:t>
            </w:r>
          </w:p>
        </w:tc>
        <w:tc>
          <w:tcPr>
            <w:tcW w:type="dxa" w:w="3485"/>
            <w:vAlign w:val="top"/>
          </w:tcPr>
          <w:p>
            <w:r>
              <w:t>Integration</w:t>
            </w:r>
          </w:p>
        </w:tc>
        <w:tc>
          <w:tcPr>
            <w:tcW w:type="dxa" w:w="3485"/>
            <w:vAlign w:val="top"/>
          </w:tcPr>
          <w:p>
            <w:r>
              <w:t>Opening balance posts receipt, balance, valuation, alert state and audit atomically.</w:t>
            </w:r>
          </w:p>
        </w:tc>
      </w:tr>
      <w:tr>
        <w:tc>
          <w:tcPr>
            <w:tcW w:type="dxa" w:w="3485"/>
            <w:vAlign w:val="top"/>
          </w:tcPr>
          <w:p>
            <w:r>
              <w:t>INV-T-008</w:t>
            </w:r>
          </w:p>
        </w:tc>
        <w:tc>
          <w:tcPr>
            <w:tcW w:type="dxa" w:w="3485"/>
            <w:vAlign w:val="top"/>
          </w:tcPr>
          <w:p>
            <w:r>
              <w:t>Integration</w:t>
            </w:r>
          </w:p>
        </w:tc>
        <w:tc>
          <w:tcPr>
            <w:tcW w:type="dxa" w:w="3485"/>
            <w:vAlign w:val="top"/>
          </w:tcPr>
          <w:p>
            <w:r>
              <w:t>Duplicate opening-balance source reference does not double-post.</w:t>
            </w:r>
          </w:p>
        </w:tc>
      </w:tr>
      <w:tr>
        <w:tc>
          <w:tcPr>
            <w:tcW w:type="dxa" w:w="3485"/>
            <w:vAlign w:val="top"/>
          </w:tcPr>
          <w:p>
            <w:r>
              <w:t>INV-T-009</w:t>
            </w:r>
          </w:p>
        </w:tc>
        <w:tc>
          <w:tcPr>
            <w:tcW w:type="dxa" w:w="3485"/>
            <w:vAlign w:val="top"/>
          </w:tcPr>
          <w:p>
            <w:r>
              <w:t>Integration</w:t>
            </w:r>
          </w:p>
        </w:tc>
        <w:tc>
          <w:tcPr>
            <w:tcW w:type="dxa" w:w="3485"/>
            <w:vAlign w:val="top"/>
          </w:tcPr>
          <w:p>
            <w:r>
              <w:t>Create/edit adjustment requires Stock.Adjust Create/Edit or Full.</w:t>
            </w:r>
          </w:p>
        </w:tc>
      </w:tr>
      <w:tr>
        <w:tc>
          <w:tcPr>
            <w:tcW w:type="dxa" w:w="3485"/>
            <w:vAlign w:val="top"/>
          </w:tcPr>
          <w:p>
            <w:r>
              <w:t>INV-T-010</w:t>
            </w:r>
          </w:p>
        </w:tc>
        <w:tc>
          <w:tcPr>
            <w:tcW w:type="dxa" w:w="3485"/>
            <w:vAlign w:val="top"/>
          </w:tcPr>
          <w:p>
            <w:r>
              <w:t>Integration</w:t>
            </w:r>
          </w:p>
        </w:tc>
        <w:tc>
          <w:tcPr>
            <w:tcW w:type="dxa" w:w="3485"/>
            <w:vAlign w:val="top"/>
          </w:tcPr>
          <w:p>
            <w:r>
              <w:t>Post adjustment requires Stock.Post Post/Full and correct operation access.</w:t>
            </w:r>
          </w:p>
        </w:tc>
      </w:tr>
      <w:tr>
        <w:tc>
          <w:tcPr>
            <w:tcW w:type="dxa" w:w="3485"/>
            <w:vAlign w:val="top"/>
          </w:tcPr>
          <w:p>
            <w:r>
              <w:t>INV-T-011</w:t>
            </w:r>
          </w:p>
        </w:tc>
        <w:tc>
          <w:tcPr>
            <w:tcW w:type="dxa" w:w="3485"/>
            <w:vAlign w:val="top"/>
          </w:tcPr>
          <w:p>
            <w:r>
              <w:t>Integration</w:t>
            </w:r>
          </w:p>
        </w:tc>
        <w:tc>
          <w:tcPr>
            <w:tcW w:type="dxa" w:w="3485"/>
            <w:vAlign w:val="top"/>
          </w:tcPr>
          <w:p>
            <w:r>
              <w:t>Adjustment requires non-zero quantity and reason code.</w:t>
            </w:r>
          </w:p>
        </w:tc>
      </w:tr>
      <w:tr>
        <w:tc>
          <w:tcPr>
            <w:tcW w:type="dxa" w:w="3485"/>
            <w:vAlign w:val="top"/>
          </w:tcPr>
          <w:p>
            <w:r>
              <w:t>INV-T-012</w:t>
            </w:r>
          </w:p>
        </w:tc>
        <w:tc>
          <w:tcPr>
            <w:tcW w:type="dxa" w:w="3485"/>
            <w:vAlign w:val="top"/>
          </w:tcPr>
          <w:p>
            <w:r>
              <w:t>Integration</w:t>
            </w:r>
          </w:p>
        </w:tc>
        <w:tc>
          <w:tcPr>
            <w:tcW w:type="dxa" w:w="3485"/>
            <w:vAlign w:val="top"/>
          </w:tcPr>
          <w:p>
            <w:r>
              <w:t>Negative adjustment is rejected when insufficient stock and negative stock disabled.</w:t>
            </w:r>
          </w:p>
        </w:tc>
      </w:tr>
      <w:tr>
        <w:tc>
          <w:tcPr>
            <w:tcW w:type="dxa" w:w="3485"/>
            <w:vAlign w:val="top"/>
          </w:tcPr>
          <w:p>
            <w:r>
              <w:t>INV-T-013</w:t>
            </w:r>
          </w:p>
        </w:tc>
        <w:tc>
          <w:tcPr>
            <w:tcW w:type="dxa" w:w="3485"/>
            <w:vAlign w:val="top"/>
          </w:tcPr>
          <w:p>
            <w:r>
              <w:t>Integration</w:t>
            </w:r>
          </w:p>
        </w:tc>
        <w:tc>
          <w:tcPr>
            <w:tcW w:type="dxa" w:w="3485"/>
            <w:vAlign w:val="top"/>
          </w:tcPr>
          <w:p>
            <w:r>
              <w:t>Positive adjustment updates weighted average and balance.</w:t>
            </w:r>
          </w:p>
        </w:tc>
      </w:tr>
      <w:tr>
        <w:tc>
          <w:tcPr>
            <w:tcW w:type="dxa" w:w="3485"/>
            <w:vAlign w:val="top"/>
          </w:tcPr>
          <w:p>
            <w:r>
              <w:t>INV-T-014</w:t>
            </w:r>
          </w:p>
        </w:tc>
        <w:tc>
          <w:tcPr>
            <w:tcW w:type="dxa" w:w="3485"/>
            <w:vAlign w:val="top"/>
          </w:tcPr>
          <w:p>
            <w:r>
              <w:t>Integration</w:t>
            </w:r>
          </w:p>
        </w:tc>
        <w:tc>
          <w:tcPr>
            <w:tcW w:type="dxa" w:w="3485"/>
            <w:vAlign w:val="top"/>
          </w:tcPr>
          <w:p>
            <w:r>
              <w:t>Adjustment reversal preserves original ledger, creates reversal reference, restores effect and audits.</w:t>
            </w:r>
          </w:p>
        </w:tc>
      </w:tr>
      <w:tr>
        <w:tc>
          <w:tcPr>
            <w:tcW w:type="dxa" w:w="3485"/>
            <w:vAlign w:val="top"/>
          </w:tcPr>
          <w:p>
            <w:r>
              <w:t>INV-T-015</w:t>
            </w:r>
          </w:p>
        </w:tc>
        <w:tc>
          <w:tcPr>
            <w:tcW w:type="dxa" w:w="3485"/>
            <w:vAlign w:val="top"/>
          </w:tcPr>
          <w:p>
            <w:r>
              <w:t>Integration</w:t>
            </w:r>
          </w:p>
        </w:tc>
        <w:tc>
          <w:tcPr>
            <w:tcW w:type="dxa" w:w="3485"/>
            <w:vAlign w:val="top"/>
          </w:tcPr>
          <w:p>
            <w:r>
              <w:t>Same adjustment cannot be reversed twice.</w:t>
            </w:r>
          </w:p>
        </w:tc>
      </w:tr>
      <w:tr>
        <w:tc>
          <w:tcPr>
            <w:tcW w:type="dxa" w:w="3485"/>
            <w:vAlign w:val="top"/>
          </w:tcPr>
          <w:p>
            <w:r>
              <w:t>INV-T-016</w:t>
            </w:r>
          </w:p>
        </w:tc>
        <w:tc>
          <w:tcPr>
            <w:tcW w:type="dxa" w:w="3485"/>
            <w:vAlign w:val="top"/>
          </w:tcPr>
          <w:p>
            <w:r>
              <w:t>Integration</w:t>
            </w:r>
          </w:p>
        </w:tc>
        <w:tc>
          <w:tcPr>
            <w:tcW w:type="dxa" w:w="3485"/>
            <w:vAlign w:val="top"/>
          </w:tcPr>
          <w:p>
            <w:r>
              <w:t>Transfer creates exactly paired OUT/IN entries with common source and commits atomically.</w:t>
            </w:r>
          </w:p>
        </w:tc>
      </w:tr>
      <w:tr>
        <w:tc>
          <w:tcPr>
            <w:tcW w:type="dxa" w:w="3485"/>
            <w:vAlign w:val="top"/>
          </w:tcPr>
          <w:p>
            <w:r>
              <w:t>INV-T-017</w:t>
            </w:r>
          </w:p>
        </w:tc>
        <w:tc>
          <w:tcPr>
            <w:tcW w:type="dxa" w:w="3485"/>
            <w:vAlign w:val="top"/>
          </w:tcPr>
          <w:p>
            <w:r>
              <w:t>Integration</w:t>
            </w:r>
          </w:p>
        </w:tc>
        <w:tc>
          <w:tcPr>
            <w:tcW w:type="dxa" w:w="3485"/>
            <w:vAlign w:val="top"/>
          </w:tcPr>
          <w:p>
            <w:r>
              <w:t>Transfer to same warehouse is rejected.</w:t>
            </w:r>
          </w:p>
        </w:tc>
      </w:tr>
      <w:tr>
        <w:tc>
          <w:tcPr>
            <w:tcW w:type="dxa" w:w="3485"/>
            <w:vAlign w:val="top"/>
          </w:tcPr>
          <w:p>
            <w:r>
              <w:t>INV-T-018</w:t>
            </w:r>
          </w:p>
        </w:tc>
        <w:tc>
          <w:tcPr>
            <w:tcW w:type="dxa" w:w="3485"/>
            <w:vAlign w:val="top"/>
          </w:tcPr>
          <w:p>
            <w:r>
              <w:t>Integration</w:t>
            </w:r>
          </w:p>
        </w:tc>
        <w:tc>
          <w:tcPr>
            <w:tcW w:type="dxa" w:w="3485"/>
            <w:vAlign w:val="top"/>
          </w:tcPr>
          <w:p>
            <w:r>
              <w:t>Insufficient transfer creates neither OUT nor IN entry and changes neither balance.</w:t>
            </w:r>
          </w:p>
        </w:tc>
      </w:tr>
      <w:tr>
        <w:tc>
          <w:tcPr>
            <w:tcW w:type="dxa" w:w="3485"/>
            <w:vAlign w:val="top"/>
          </w:tcPr>
          <w:p>
            <w:r>
              <w:t>INV-T-019</w:t>
            </w:r>
          </w:p>
        </w:tc>
        <w:tc>
          <w:tcPr>
            <w:tcW w:type="dxa" w:w="3485"/>
            <w:vAlign w:val="top"/>
          </w:tcPr>
          <w:p>
            <w:r>
              <w:t>SQL concurrency</w:t>
            </w:r>
          </w:p>
        </w:tc>
        <w:tc>
          <w:tcPr>
            <w:tcW w:type="dxa" w:w="3485"/>
            <w:vAlign w:val="top"/>
          </w:tcPr>
          <w:p>
            <w:r>
              <w:t>Two concurrent transfers/stock consumers competing for last available stock cannot both succeed.</w:t>
            </w:r>
          </w:p>
        </w:tc>
      </w:tr>
      <w:tr>
        <w:tc>
          <w:tcPr>
            <w:tcW w:type="dxa" w:w="3485"/>
            <w:vAlign w:val="top"/>
          </w:tcPr>
          <w:p>
            <w:r>
              <w:t>INV-T-020</w:t>
            </w:r>
          </w:p>
        </w:tc>
        <w:tc>
          <w:tcPr>
            <w:tcW w:type="dxa" w:w="3485"/>
            <w:vAlign w:val="top"/>
          </w:tcPr>
          <w:p>
            <w:r>
              <w:t>SQL concurrency</w:t>
            </w:r>
          </w:p>
        </w:tc>
        <w:tc>
          <w:tcPr>
            <w:tcW w:type="dxa" w:w="3485"/>
            <w:vAlign w:val="top"/>
          </w:tcPr>
          <w:p>
            <w:r>
              <w:t>Rowversion conflict is detected and no lost update occurs.</w:t>
            </w:r>
          </w:p>
        </w:tc>
      </w:tr>
      <w:tr>
        <w:tc>
          <w:tcPr>
            <w:tcW w:type="dxa" w:w="3485"/>
            <w:vAlign w:val="top"/>
          </w:tcPr>
          <w:p>
            <w:r>
              <w:t>INV-T-021</w:t>
            </w:r>
          </w:p>
        </w:tc>
        <w:tc>
          <w:tcPr>
            <w:tcW w:type="dxa" w:w="3485"/>
            <w:vAlign w:val="top"/>
          </w:tcPr>
          <w:p>
            <w:r>
              <w:t>Integration</w:t>
            </w:r>
          </w:p>
        </w:tc>
        <w:tc>
          <w:tcPr>
            <w:tcW w:type="dxa" w:w="3485"/>
            <w:vAlign w:val="top"/>
          </w:tcPr>
          <w:p>
            <w:r>
              <w:t>Transfer valuation uses source average cost and destination weighted average is recalculated.</w:t>
            </w:r>
          </w:p>
        </w:tc>
      </w:tr>
      <w:tr>
        <w:tc>
          <w:tcPr>
            <w:tcW w:type="dxa" w:w="3485"/>
            <w:vAlign w:val="top"/>
          </w:tcPr>
          <w:p>
            <w:r>
              <w:t>INV-T-022</w:t>
            </w:r>
          </w:p>
        </w:tc>
        <w:tc>
          <w:tcPr>
            <w:tcW w:type="dxa" w:w="3485"/>
            <w:vAlign w:val="top"/>
          </w:tcPr>
          <w:p>
            <w:r>
              <w:t>Integration</w:t>
            </w:r>
          </w:p>
        </w:tc>
        <w:tc>
          <w:tcPr>
            <w:tcW w:type="dxa" w:w="3485"/>
            <w:vAlign w:val="top"/>
          </w:tcPr>
          <w:p>
            <w:r>
              <w:t>Duplicate transfer post/source reference is idempotent.</w:t>
            </w:r>
          </w:p>
        </w:tc>
      </w:tr>
      <w:tr>
        <w:tc>
          <w:tcPr>
            <w:tcW w:type="dxa" w:w="3485"/>
            <w:vAlign w:val="top"/>
          </w:tcPr>
          <w:p>
            <w:r>
              <w:t>INV-T-023</w:t>
            </w:r>
          </w:p>
        </w:tc>
        <w:tc>
          <w:tcPr>
            <w:tcW w:type="dxa" w:w="3485"/>
            <w:vAlign w:val="top"/>
          </w:tcPr>
          <w:p>
            <w:r>
              <w:t>Integration</w:t>
            </w:r>
          </w:p>
        </w:tc>
        <w:tc>
          <w:tcPr>
            <w:tcW w:type="dxa" w:w="3485"/>
            <w:vAlign w:val="top"/>
          </w:tcPr>
          <w:p>
            <w:r>
              <w:t>Negative stock defaults disabled for warehouse.</w:t>
            </w:r>
          </w:p>
        </w:tc>
      </w:tr>
      <w:tr>
        <w:tc>
          <w:tcPr>
            <w:tcW w:type="dxa" w:w="3485"/>
            <w:vAlign w:val="top"/>
          </w:tcPr>
          <w:p>
            <w:r>
              <w:t>INV-T-024</w:t>
            </w:r>
          </w:p>
        </w:tc>
        <w:tc>
          <w:tcPr>
            <w:tcW w:type="dxa" w:w="3485"/>
            <w:vAlign w:val="top"/>
          </w:tcPr>
          <w:p>
            <w:r>
              <w:t>Integration</w:t>
            </w:r>
          </w:p>
        </w:tc>
        <w:tc>
          <w:tcPr>
            <w:tcW w:type="dxa" w:w="3485"/>
            <w:vAlign w:val="top"/>
          </w:tcPr>
          <w:p>
            <w:r>
              <w:t>Warehouse negative-stock configuration affects future postings without rewriting history.</w:t>
            </w:r>
          </w:p>
        </w:tc>
      </w:tr>
      <w:tr>
        <w:tc>
          <w:tcPr>
            <w:tcW w:type="dxa" w:w="3485"/>
            <w:vAlign w:val="top"/>
          </w:tcPr>
          <w:p>
            <w:r>
              <w:t>INV-T-025</w:t>
            </w:r>
          </w:p>
        </w:tc>
        <w:tc>
          <w:tcPr>
            <w:tcW w:type="dxa" w:w="3485"/>
            <w:vAlign w:val="top"/>
          </w:tcPr>
          <w:p>
            <w:r>
              <w:t>Integration</w:t>
            </w:r>
          </w:p>
        </w:tc>
        <w:tc>
          <w:tcPr>
            <w:tcW w:type="dxa" w:w="3485"/>
            <w:vAlign w:val="top"/>
          </w:tcPr>
          <w:p>
            <w:r>
              <w:t>Reorder alert appears when AvailableQuantity &lt; Product.MinimumStockLevel and clears/is absent after recovery.</w:t>
            </w:r>
          </w:p>
        </w:tc>
      </w:tr>
      <w:tr>
        <w:tc>
          <w:tcPr>
            <w:tcW w:type="dxa" w:w="3485"/>
            <w:vAlign w:val="top"/>
          </w:tcPr>
          <w:p>
            <w:r>
              <w:t>INV-T-026</w:t>
            </w:r>
          </w:p>
        </w:tc>
        <w:tc>
          <w:tcPr>
            <w:tcW w:type="dxa" w:w="3485"/>
            <w:vAlign w:val="top"/>
          </w:tcPr>
          <w:p>
            <w:r>
              <w:t>Integration</w:t>
            </w:r>
          </w:p>
        </w:tc>
        <w:tc>
          <w:tcPr>
            <w:tcW w:type="dxa" w:w="3485"/>
            <w:vAlign w:val="top"/>
          </w:tcPr>
          <w:p>
            <w:r>
              <w:t>Stock.View permits reads according to ARP-01 matrix; missing permission returns 403.</w:t>
            </w:r>
          </w:p>
        </w:tc>
      </w:tr>
      <w:tr>
        <w:tc>
          <w:tcPr>
            <w:tcW w:type="dxa" w:w="3485"/>
            <w:vAlign w:val="top"/>
          </w:tcPr>
          <w:p>
            <w:r>
              <w:t>INV-T-027</w:t>
            </w:r>
          </w:p>
        </w:tc>
        <w:tc>
          <w:tcPr>
            <w:tcW w:type="dxa" w:w="3485"/>
            <w:vAlign w:val="top"/>
          </w:tcPr>
          <w:p>
            <w:r>
              <w:t>Integration</w:t>
            </w:r>
          </w:p>
        </w:tc>
        <w:tc>
          <w:tcPr>
            <w:tcW w:type="dxa" w:w="3485"/>
            <w:vAlign w:val="top"/>
          </w:tcPr>
          <w:p>
            <w:r>
              <w:t>Auditor can read inventory but cannot create/post/reverse.</w:t>
            </w:r>
          </w:p>
        </w:tc>
      </w:tr>
      <w:tr>
        <w:tc>
          <w:tcPr>
            <w:tcW w:type="dxa" w:w="3485"/>
            <w:vAlign w:val="top"/>
          </w:tcPr>
          <w:p>
            <w:r>
              <w:t>INV-T-028</w:t>
            </w:r>
          </w:p>
        </w:tc>
        <w:tc>
          <w:tcPr>
            <w:tcW w:type="dxa" w:w="3485"/>
            <w:vAlign w:val="top"/>
          </w:tcPr>
          <w:p>
            <w:r>
              <w:t>Integration</w:t>
            </w:r>
          </w:p>
        </w:tc>
        <w:tc>
          <w:tcPr>
            <w:tcW w:type="dxa" w:w="3485"/>
            <w:vAlign w:val="top"/>
          </w:tcPr>
          <w:p>
            <w:r>
              <w:t>Inactive Product or Warehouse cannot be used in new inventory posting.</w:t>
            </w:r>
          </w:p>
        </w:tc>
      </w:tr>
      <w:tr>
        <w:tc>
          <w:tcPr>
            <w:tcW w:type="dxa" w:w="3485"/>
            <w:vAlign w:val="top"/>
          </w:tcPr>
          <w:p>
            <w:r>
              <w:t>INV-T-029</w:t>
            </w:r>
          </w:p>
        </w:tc>
        <w:tc>
          <w:tcPr>
            <w:tcW w:type="dxa" w:w="3485"/>
            <w:vAlign w:val="top"/>
          </w:tcPr>
          <w:p>
            <w:r>
              <w:t>Integration</w:t>
            </w:r>
          </w:p>
        </w:tc>
        <w:tc>
          <w:tcPr>
            <w:tcW w:type="dxa" w:w="3485"/>
            <w:vAlign w:val="top"/>
          </w:tcPr>
          <w:p>
            <w:r>
              <w:t>Inventory create/update/post/reverse audit records contain required FR-ADM fields.</w:t>
            </w:r>
          </w:p>
        </w:tc>
      </w:tr>
      <w:tr>
        <w:tc>
          <w:tcPr>
            <w:tcW w:type="dxa" w:w="3485"/>
            <w:vAlign w:val="top"/>
          </w:tcPr>
          <w:p>
            <w:r>
              <w:t>INV-T-030</w:t>
            </w:r>
          </w:p>
        </w:tc>
        <w:tc>
          <w:tcPr>
            <w:tcW w:type="dxa" w:w="3485"/>
            <w:vAlign w:val="top"/>
          </w:tcPr>
          <w:p>
            <w:r>
              <w:t>SQL integration</w:t>
            </w:r>
          </w:p>
        </w:tc>
        <w:tc>
          <w:tcPr>
            <w:tcW w:type="dxa" w:w="3485"/>
            <w:vAlign w:val="top"/>
          </w:tcPr>
          <w:p>
            <w:r>
              <w:t>Relational source-reference uniqueness prevents duplicate stock effects.</w:t>
            </w:r>
          </w:p>
        </w:tc>
      </w:tr>
      <w:tr>
        <w:tc>
          <w:tcPr>
            <w:tcW w:type="dxa" w:w="3485"/>
            <w:vAlign w:val="top"/>
          </w:tcPr>
          <w:p>
            <w:r>
              <w:t>INV-T-031</w:t>
            </w:r>
          </w:p>
        </w:tc>
        <w:tc>
          <w:tcPr>
            <w:tcW w:type="dxa" w:w="3485"/>
            <w:vAlign w:val="top"/>
          </w:tcPr>
          <w:p>
            <w:r>
              <w:t>SQL integration</w:t>
            </w:r>
          </w:p>
        </w:tc>
        <w:tc>
          <w:tcPr>
            <w:tcW w:type="dxa" w:w="3485"/>
            <w:vAlign w:val="top"/>
          </w:tcPr>
          <w:p>
            <w:r>
              <w:t>Reversal uniqueness prevents duplicate reversal.</w:t>
            </w:r>
          </w:p>
        </w:tc>
      </w:tr>
      <w:tr>
        <w:tc>
          <w:tcPr>
            <w:tcW w:type="dxa" w:w="3485"/>
            <w:vAlign w:val="top"/>
          </w:tcPr>
          <w:p>
            <w:r>
              <w:t>INV-T-032</w:t>
            </w:r>
          </w:p>
        </w:tc>
        <w:tc>
          <w:tcPr>
            <w:tcW w:type="dxa" w:w="3485"/>
            <w:vAlign w:val="top"/>
          </w:tcPr>
          <w:p>
            <w:r>
              <w:t>Transaction</w:t>
            </w:r>
          </w:p>
        </w:tc>
        <w:tc>
          <w:tcPr>
            <w:tcW w:type="dxa" w:w="3485"/>
            <w:vAlign w:val="top"/>
          </w:tcPr>
          <w:p>
            <w:r>
              <w:t>Injected/forced failure inside multi-write posting rolls back ledger, balance, document state and audit together.</w:t>
            </w:r>
          </w:p>
        </w:tc>
      </w:tr>
      <w:tr>
        <w:tc>
          <w:tcPr>
            <w:tcW w:type="dxa" w:w="3485"/>
            <w:vAlign w:val="top"/>
          </w:tcPr>
          <w:p>
            <w:r>
              <w:t>INV-T-033</w:t>
            </w:r>
          </w:p>
        </w:tc>
        <w:tc>
          <w:tcPr>
            <w:tcW w:type="dxa" w:w="3485"/>
            <w:vAlign w:val="top"/>
          </w:tcPr>
          <w:p>
            <w:r>
              <w:t>Regression</w:t>
            </w:r>
          </w:p>
        </w:tc>
        <w:tc>
          <w:tcPr>
            <w:tcW w:type="dxa" w:w="3485"/>
            <w:vAlign w:val="top"/>
          </w:tcPr>
          <w:p>
            <w:r>
              <w:t>All BF-01, MD-01 and ARP-01 tests remain green.</w:t>
            </w:r>
          </w:p>
        </w:tc>
      </w:tr>
      <w:tr>
        <w:tc>
          <w:tcPr>
            <w:tcW w:type="dxa" w:w="3485"/>
            <w:vAlign w:val="top"/>
          </w:tcPr>
          <w:p>
            <w:r>
              <w:t>INV-T-034</w:t>
            </w:r>
          </w:p>
        </w:tc>
        <w:tc>
          <w:tcPr>
            <w:tcW w:type="dxa" w:w="3485"/>
            <w:vAlign w:val="top"/>
          </w:tcPr>
          <w:p>
            <w:r>
              <w:t>Migration</w:t>
            </w:r>
          </w:p>
        </w:tc>
        <w:tc>
          <w:tcPr>
            <w:tcW w:type="dxa" w:w="3485"/>
            <w:vAlign w:val="top"/>
          </w:tcPr>
          <w:p>
            <w:r>
              <w:t>Phase-4 migration applies cleanly to dedicated SQL Server integration DB and EF reports no unintended pending model changes.</w:t>
            </w:r>
          </w:p>
        </w:tc>
      </w:tr>
      <w:tr>
        <w:tc>
          <w:tcPr>
            <w:tcW w:type="dxa" w:w="3485"/>
            <w:vAlign w:val="top"/>
          </w:tcPr>
          <w:p>
            <w:r>
              <w:t>INV-T-035</w:t>
            </w:r>
          </w:p>
        </w:tc>
        <w:tc>
          <w:tcPr>
            <w:tcW w:type="dxa" w:w="3485"/>
            <w:vAlign w:val="top"/>
          </w:tcPr>
          <w:p>
            <w:r>
              <w:t>Security/contract</w:t>
            </w:r>
          </w:p>
        </w:tc>
        <w:tc>
          <w:tcPr>
            <w:tcW w:type="dxa" w:w="3485"/>
            <w:vAlign w:val="top"/>
          </w:tcPr>
          <w:p>
            <w:r>
              <w:t>No new permission codes, public endpoints, Identity redesign, domain/EF HTTP responses or redundant XRequest DTOs are introduced.</w:t>
            </w:r>
          </w:p>
        </w:tc>
      </w:tr>
      <w:tr>
        <w:tc>
          <w:tcPr>
            <w:tcW w:type="dxa" w:w="3485"/>
            <w:vAlign w:val="top"/>
          </w:tcPr>
          <w:p>
            <w:r>
              <w:t>INV-T-036</w:t>
            </w:r>
          </w:p>
        </w:tc>
        <w:tc>
          <w:tcPr>
            <w:tcW w:type="dxa" w:w="3485"/>
            <w:vAlign w:val="top"/>
          </w:tcPr>
          <w:p>
            <w:r>
              <w:t>Deferred-contract</w:t>
            </w:r>
          </w:p>
        </w:tc>
        <w:tc>
          <w:tcPr>
            <w:tcW w:type="dxa" w:w="3485"/>
            <w:vAlign w:val="top"/>
          </w:tcPr>
          <w:p>
            <w:r>
              <w:t>Internal stock receipt/issue posting primitives support stable source references and transaction-compatible later Invoice/GRN integration without creating those modules.</w:t>
            </w:r>
          </w:p>
        </w:tc>
      </w:tr>
    </w:tbl>
    <w:p>
      <w:pPr>
        <w:pStyle w:val="Heading1"/>
      </w:pPr>
      <w:r>
        <w:t>28. Dedicated SQL Server Test Safety</w:t>
      </w:r>
    </w:p>
    <w:p>
      <w:pPr>
        <w:pStyle w:val="ListBullet"/>
      </w:pPr>
      <w:r>
        <w:t>Reuse the dedicated SQL Server integration-test pattern established in MD-01/ARP-01.</w:t>
      </w:r>
    </w:p>
    <w:p>
      <w:pPr>
        <w:pStyle w:val="ListBullet"/>
      </w:pPr>
      <w:r>
        <w:t>Never point destructive reset/drop logic at the development JTradeERP database.</w:t>
      </w:r>
    </w:p>
    <w:p>
      <w:pPr>
        <w:pStyle w:val="ListBullet"/>
      </w:pPr>
      <w:r>
        <w:t>Test setup must positively identify the approved integration database before destructive operations.</w:t>
      </w:r>
    </w:p>
    <w:p>
      <w:pPr>
        <w:pStyle w:val="ListBullet"/>
      </w:pPr>
      <w:r>
        <w:t>Do not alter appsettings.Development.json merely to run tests.</w:t>
      </w:r>
    </w:p>
    <w:p>
      <w:pPr>
        <w:pStyle w:val="ListBullet"/>
      </w:pPr>
      <w:r>
        <w:t>If an execution sandbox cannot access local SQL Server, preserve the tests and provide exact Windows commands; do not weaken them to EF InMemory/SQLite.</w:t>
      </w:r>
    </w:p>
    <w:p>
      <w:pPr>
        <w:pStyle w:val="Heading1"/>
      </w:pPr>
      <w:r>
        <w:t>29. Acceptance Criteria</w:t>
      </w:r>
    </w:p>
    <w:tbl>
      <w:tblPr>
        <w:tblStyle w:val="TableGrid"/>
        <w:tblW w:type="auto" w:w="0"/>
        <w:jc w:val="center"/>
        <w:tblLook w:firstColumn="1" w:firstRow="1" w:lastColumn="0" w:lastRow="0" w:noHBand="0" w:noVBand="1" w:val="04A0"/>
      </w:tblPr>
      <w:tblGrid>
        <w:gridCol w:w="5227"/>
        <w:gridCol w:w="5227"/>
      </w:tblGrid>
      <w:tr>
        <w:tc>
          <w:tcPr>
            <w:tcW w:type="dxa" w:w="5227"/>
          </w:tcPr>
          <w:p>
            <w:r>
              <w:rPr>
                <w:b/>
              </w:rPr>
              <w:t>ID</w:t>
            </w:r>
          </w:p>
        </w:tc>
        <w:tc>
          <w:tcPr>
            <w:tcW w:type="dxa" w:w="5227"/>
          </w:tcPr>
          <w:p>
            <w:r>
              <w:rPr>
                <w:b/>
              </w:rPr>
              <w:t>Acceptance criterion</w:t>
            </w:r>
          </w:p>
        </w:tc>
      </w:tr>
      <w:tr>
        <w:tc>
          <w:tcPr>
            <w:tcW w:type="dxa" w:w="5227"/>
            <w:vAlign w:val="top"/>
          </w:tcPr>
          <w:p>
            <w:r>
              <w:t>INV-AC-001</w:t>
            </w:r>
          </w:p>
        </w:tc>
        <w:tc>
          <w:tcPr>
            <w:tcW w:type="dxa" w:w="5227"/>
            <w:vAlign w:val="top"/>
          </w:tcPr>
          <w:p>
            <w:r>
              <w:t>Append-only stock ledger is implemented and posted history is not mutated.</w:t>
            </w:r>
          </w:p>
        </w:tc>
      </w:tr>
      <w:tr>
        <w:tc>
          <w:tcPr>
            <w:tcW w:type="dxa" w:w="5227"/>
            <w:vAlign w:val="top"/>
          </w:tcPr>
          <w:p>
            <w:r>
              <w:t>INV-AC-002</w:t>
            </w:r>
          </w:p>
        </w:tc>
        <w:tc>
          <w:tcPr>
            <w:tcW w:type="dxa" w:w="5227"/>
            <w:vAlign w:val="top"/>
          </w:tcPr>
          <w:p>
            <w:r>
              <w:t>Corrections use reversal entries referencing originals.</w:t>
            </w:r>
          </w:p>
        </w:tc>
      </w:tr>
      <w:tr>
        <w:tc>
          <w:tcPr>
            <w:tcW w:type="dxa" w:w="5227"/>
            <w:vAlign w:val="top"/>
          </w:tcPr>
          <w:p>
            <w:r>
              <w:t>INV-AC-003</w:t>
            </w:r>
          </w:p>
        </w:tc>
        <w:tc>
          <w:tcPr>
            <w:tcW w:type="dxa" w:w="5227"/>
            <w:vAlign w:val="top"/>
          </w:tcPr>
          <w:p>
            <w:r>
              <w:t>StockBalance tracks QtyOnHand and QtyReserved and derives AvailableQuantity exactly.</w:t>
            </w:r>
          </w:p>
        </w:tc>
      </w:tr>
      <w:tr>
        <w:tc>
          <w:tcPr>
            <w:tcW w:type="dxa" w:w="5227"/>
            <w:vAlign w:val="top"/>
          </w:tcPr>
          <w:p>
            <w:r>
              <w:t>INV-AC-004</w:t>
            </w:r>
          </w:p>
        </w:tc>
        <w:tc>
          <w:tcPr>
            <w:tcW w:type="dxa" w:w="5227"/>
            <w:vAlign w:val="top"/>
          </w:tcPr>
          <w:p>
            <w:r>
              <w:t>Weighted-average valuation is implemented and relationally tested.</w:t>
            </w:r>
          </w:p>
        </w:tc>
      </w:tr>
      <w:tr>
        <w:tc>
          <w:tcPr>
            <w:tcW w:type="dxa" w:w="5227"/>
            <w:vAlign w:val="top"/>
          </w:tcPr>
          <w:p>
            <w:r>
              <w:t>INV-AC-005</w:t>
            </w:r>
          </w:p>
        </w:tc>
        <w:tc>
          <w:tcPr>
            <w:tcW w:type="dxa" w:w="5227"/>
            <w:vAlign w:val="top"/>
          </w:tcPr>
          <w:p>
            <w:r>
              <w:t>Opening balances post as controlled receipts and are idempotent.</w:t>
            </w:r>
          </w:p>
        </w:tc>
      </w:tr>
      <w:tr>
        <w:tc>
          <w:tcPr>
            <w:tcW w:type="dxa" w:w="5227"/>
            <w:vAlign w:val="top"/>
          </w:tcPr>
          <w:p>
            <w:r>
              <w:t>INV-AC-006</w:t>
            </w:r>
          </w:p>
        </w:tc>
        <w:tc>
          <w:tcPr>
            <w:tcW w:type="dxa" w:w="5227"/>
            <w:vAlign w:val="top"/>
          </w:tcPr>
          <w:p>
            <w:r>
              <w:t>Adjustments require reason + correct permissions, support controlled posting, and reverse without rewriting history.</w:t>
            </w:r>
          </w:p>
        </w:tc>
      </w:tr>
      <w:tr>
        <w:tc>
          <w:tcPr>
            <w:tcW w:type="dxa" w:w="5227"/>
            <w:vAlign w:val="top"/>
          </w:tcPr>
          <w:p>
            <w:r>
              <w:t>INV-AC-007</w:t>
            </w:r>
          </w:p>
        </w:tc>
        <w:tc>
          <w:tcPr>
            <w:tcW w:type="dxa" w:w="5227"/>
            <w:vAlign w:val="top"/>
          </w:tcPr>
          <w:p>
            <w:r>
              <w:t>Transfers create paired OUT/IN entries and both balance updates atomically.</w:t>
            </w:r>
          </w:p>
        </w:tc>
      </w:tr>
      <w:tr>
        <w:tc>
          <w:tcPr>
            <w:tcW w:type="dxa" w:w="5227"/>
            <w:vAlign w:val="top"/>
          </w:tcPr>
          <w:p>
            <w:r>
              <w:t>INV-AC-008</w:t>
            </w:r>
          </w:p>
        </w:tc>
        <w:tc>
          <w:tcPr>
            <w:tcW w:type="dxa" w:w="5227"/>
            <w:vAlign w:val="top"/>
          </w:tcPr>
          <w:p>
            <w:r>
              <w:t>SQL Server rowversion protects StockBalance and concurrent last-stock operations cannot violate invariants.</w:t>
            </w:r>
          </w:p>
        </w:tc>
      </w:tr>
      <w:tr>
        <w:tc>
          <w:tcPr>
            <w:tcW w:type="dxa" w:w="5227"/>
            <w:vAlign w:val="top"/>
          </w:tcPr>
          <w:p>
            <w:r>
              <w:t>INV-AC-009</w:t>
            </w:r>
          </w:p>
        </w:tc>
        <w:tc>
          <w:tcPr>
            <w:tcW w:type="dxa" w:w="5227"/>
            <w:vAlign w:val="top"/>
          </w:tcPr>
          <w:p>
            <w:r>
              <w:t>Negative stock is disabled by default and configurable at Warehouse level.</w:t>
            </w:r>
          </w:p>
        </w:tc>
      </w:tr>
      <w:tr>
        <w:tc>
          <w:tcPr>
            <w:tcW w:type="dxa" w:w="5227"/>
            <w:vAlign w:val="top"/>
          </w:tcPr>
          <w:p>
            <w:r>
              <w:t>INV-AC-010</w:t>
            </w:r>
          </w:p>
        </w:tc>
        <w:tc>
          <w:tcPr>
            <w:tcW w:type="dxa" w:w="5227"/>
            <w:vAlign w:val="top"/>
          </w:tcPr>
          <w:p>
            <w:r>
              <w:t>Reorder alerts reflect AvailableQuantity below Product.MinimumStockLevel.</w:t>
            </w:r>
          </w:p>
        </w:tc>
      </w:tr>
      <w:tr>
        <w:tc>
          <w:tcPr>
            <w:tcW w:type="dxa" w:w="5227"/>
            <w:vAlign w:val="top"/>
          </w:tcPr>
          <w:p>
            <w:r>
              <w:t>INV-AC-011</w:t>
            </w:r>
          </w:p>
        </w:tc>
        <w:tc>
          <w:tcPr>
            <w:tcW w:type="dxa" w:w="5227"/>
            <w:vAlign w:val="top"/>
          </w:tcPr>
          <w:p>
            <w:r>
              <w:t>All stock postings use relationally enforced source-document idempotency.</w:t>
            </w:r>
          </w:p>
        </w:tc>
      </w:tr>
      <w:tr>
        <w:tc>
          <w:tcPr>
            <w:tcW w:type="dxa" w:w="5227"/>
            <w:vAlign w:val="top"/>
          </w:tcPr>
          <w:p>
            <w:r>
              <w:t>INV-AC-012</w:t>
            </w:r>
          </w:p>
        </w:tc>
        <w:tc>
          <w:tcPr>
            <w:tcW w:type="dxa" w:w="5227"/>
            <w:vAlign w:val="top"/>
          </w:tcPr>
          <w:p>
            <w:r>
              <w:t>Inventory reads/commands enforce the existing ARP-01 Stock permissions/capabilities; no permission code is invented.</w:t>
            </w:r>
          </w:p>
        </w:tc>
      </w:tr>
      <w:tr>
        <w:tc>
          <w:tcPr>
            <w:tcW w:type="dxa" w:w="5227"/>
            <w:vAlign w:val="top"/>
          </w:tcPr>
          <w:p>
            <w:r>
              <w:t>INV-AC-013</w:t>
            </w:r>
          </w:p>
        </w:tc>
        <w:tc>
          <w:tcPr>
            <w:tcW w:type="dxa" w:w="5227"/>
            <w:vAlign w:val="top"/>
          </w:tcPr>
          <w:p>
            <w:r>
              <w:t>Auditor remains read-only.</w:t>
            </w:r>
          </w:p>
        </w:tc>
      </w:tr>
      <w:tr>
        <w:tc>
          <w:tcPr>
            <w:tcW w:type="dxa" w:w="5227"/>
            <w:vAlign w:val="top"/>
          </w:tcPr>
          <w:p>
            <w:r>
              <w:t>INV-AC-014</w:t>
            </w:r>
          </w:p>
        </w:tc>
        <w:tc>
          <w:tcPr>
            <w:tcW w:type="dxa" w:w="5227"/>
            <w:vAlign w:val="top"/>
          </w:tcPr>
          <w:p>
            <w:r>
              <w:t>Inventory create/update/post/reverse actions use existing audit infrastructure and satisfy FR-ADM-007–009 fields.</w:t>
            </w:r>
          </w:p>
        </w:tc>
      </w:tr>
      <w:tr>
        <w:tc>
          <w:tcPr>
            <w:tcW w:type="dxa" w:w="5227"/>
            <w:vAlign w:val="top"/>
          </w:tcPr>
          <w:p>
            <w:r>
              <w:t>INV-AC-015</w:t>
            </w:r>
          </w:p>
        </w:tc>
        <w:tc>
          <w:tcPr>
            <w:tcW w:type="dxa" w:w="5227"/>
            <w:vAlign w:val="top"/>
          </w:tcPr>
          <w:p>
            <w:r>
              <w:t>Inactive products/warehouses are rejected in new inventory transactions.</w:t>
            </w:r>
          </w:p>
        </w:tc>
      </w:tr>
      <w:tr>
        <w:tc>
          <w:tcPr>
            <w:tcW w:type="dxa" w:w="5227"/>
            <w:vAlign w:val="top"/>
          </w:tcPr>
          <w:p>
            <w:r>
              <w:t>INV-AC-016</w:t>
            </w:r>
          </w:p>
        </w:tc>
        <w:tc>
          <w:tcPr>
            <w:tcW w:type="dxa" w:w="5227"/>
            <w:vAlign w:val="top"/>
          </w:tcPr>
          <w:p>
            <w:r>
              <w:t>All inventory posting multi-write effects are transactional.</w:t>
            </w:r>
          </w:p>
        </w:tc>
      </w:tr>
      <w:tr>
        <w:tc>
          <w:tcPr>
            <w:tcW w:type="dxa" w:w="5227"/>
            <w:vAlign w:val="top"/>
          </w:tcPr>
          <w:p>
            <w:r>
              <w:t>INV-AC-017</w:t>
            </w:r>
          </w:p>
        </w:tc>
        <w:tc>
          <w:tcPr>
            <w:tcW w:type="dxa" w:w="5227"/>
            <w:vAlign w:val="top"/>
          </w:tcPr>
          <w:p>
            <w:r>
              <w:t>Inventory vertical slices follow MD-01 Final v3 Command/Query/explicit Response rules with no redundant XRequest.</w:t>
            </w:r>
          </w:p>
        </w:tc>
      </w:tr>
      <w:tr>
        <w:tc>
          <w:tcPr>
            <w:tcW w:type="dxa" w:w="5227"/>
            <w:vAlign w:val="top"/>
          </w:tcPr>
          <w:p>
            <w:r>
              <w:t>INV-AC-018</w:t>
            </w:r>
          </w:p>
        </w:tc>
        <w:tc>
          <w:tcPr>
            <w:tcW w:type="dxa" w:w="5227"/>
            <w:vAlign w:val="top"/>
          </w:tcPr>
          <w:p>
            <w:r>
              <w:t>No generic repository, ASP.NET Identity redesign, or duplicate authorization/audit subsystem is introduced.</w:t>
            </w:r>
          </w:p>
        </w:tc>
      </w:tr>
      <w:tr>
        <w:tc>
          <w:tcPr>
            <w:tcW w:type="dxa" w:w="5227"/>
            <w:vAlign w:val="top"/>
          </w:tcPr>
          <w:p>
            <w:r>
              <w:t>INV-AC-019</w:t>
            </w:r>
          </w:p>
        </w:tc>
        <w:tc>
          <w:tcPr>
            <w:tcW w:type="dxa" w:w="5227"/>
            <w:vAlign w:val="top"/>
          </w:tcPr>
          <w:p>
            <w:r>
              <w:t>FR-STK-006 Invoice and FR-STK-007 GRN integration points are engine-ready and explicitly deferred to their source-document phases without fabricating those modules.</w:t>
            </w:r>
          </w:p>
        </w:tc>
      </w:tr>
      <w:tr>
        <w:tc>
          <w:tcPr>
            <w:tcW w:type="dxa" w:w="5227"/>
            <w:vAlign w:val="top"/>
          </w:tcPr>
          <w:p>
            <w:r>
              <w:t>INV-AC-020</w:t>
            </w:r>
          </w:p>
        </w:tc>
        <w:tc>
          <w:tcPr>
            <w:tcW w:type="dxa" w:w="5227"/>
            <w:vAlign w:val="top"/>
          </w:tcPr>
          <w:p>
            <w:r>
              <w:t>QtyReserved model/engine semantics are ready for later Sales Order integration without creating Sales Order APIs.</w:t>
            </w:r>
          </w:p>
        </w:tc>
      </w:tr>
      <w:tr>
        <w:tc>
          <w:tcPr>
            <w:tcW w:type="dxa" w:w="5227"/>
            <w:vAlign w:val="top"/>
          </w:tcPr>
          <w:p>
            <w:r>
              <w:t>INV-AC-021</w:t>
            </w:r>
          </w:p>
        </w:tc>
        <w:tc>
          <w:tcPr>
            <w:tcW w:type="dxa" w:w="5227"/>
            <w:vAlign w:val="top"/>
          </w:tcPr>
          <w:p>
            <w:r>
              <w:t>Migration contains only approved Phase-4 schema/configuration changes and applies to SQL Server.</w:t>
            </w:r>
          </w:p>
        </w:tc>
      </w:tr>
      <w:tr>
        <w:tc>
          <w:tcPr>
            <w:tcW w:type="dxa" w:w="5227"/>
            <w:vAlign w:val="top"/>
          </w:tcPr>
          <w:p>
            <w:r>
              <w:t>INV-AC-022</w:t>
            </w:r>
          </w:p>
        </w:tc>
        <w:tc>
          <w:tcPr>
            <w:tcW w:type="dxa" w:w="5227"/>
            <w:vAlign w:val="top"/>
          </w:tcPr>
          <w:p>
            <w:r>
              <w:t>All required INV-T tests pass with 0 failed and 0 skipped except a documented external SQL environment verification that cannot run in Codex but is run locally before final acceptance.</w:t>
            </w:r>
          </w:p>
        </w:tc>
      </w:tr>
      <w:tr>
        <w:tc>
          <w:tcPr>
            <w:tcW w:type="dxa" w:w="5227"/>
            <w:vAlign w:val="top"/>
          </w:tcPr>
          <w:p>
            <w:r>
              <w:t>INV-AC-023</w:t>
            </w:r>
          </w:p>
        </w:tc>
        <w:tc>
          <w:tcPr>
            <w:tcW w:type="dxa" w:w="5227"/>
            <w:vAlign w:val="top"/>
          </w:tcPr>
          <w:p>
            <w:r>
              <w:t>BF-01, MD-01 and ARP-01 regression suites remain green.</w:t>
            </w:r>
          </w:p>
        </w:tc>
      </w:tr>
      <w:tr>
        <w:tc>
          <w:tcPr>
            <w:tcW w:type="dxa" w:w="5227"/>
            <w:vAlign w:val="top"/>
          </w:tcPr>
          <w:p>
            <w:r>
              <w:t>INV-AC-024</w:t>
            </w:r>
          </w:p>
        </w:tc>
        <w:tc>
          <w:tcPr>
            <w:tcW w:type="dxa" w:w="5227"/>
            <w:vAlign w:val="top"/>
          </w:tcPr>
          <w:p>
            <w:r>
              <w:t>No later Purchasing, Billing, Reporting, Number Series or frontend functionality is implemented.</w:t>
            </w:r>
          </w:p>
        </w:tc>
      </w:tr>
      <w:tr>
        <w:tc>
          <w:tcPr>
            <w:tcW w:type="dxa" w:w="5227"/>
            <w:vAlign w:val="top"/>
          </w:tcPr>
          <w:p>
            <w:r>
              <w:t>INV-AC-025</w:t>
            </w:r>
          </w:p>
        </w:tc>
        <w:tc>
          <w:tcPr>
            <w:tcW w:type="dxa" w:w="5227"/>
            <w:vAlign w:val="top"/>
          </w:tcPr>
          <w:p>
            <w:r>
              <w:t>A final compliance audit maps every FR-STK requirement, relevant user story, INV-T test and INV-AC criterion to evidence or an explicit cross-module deferral.</w:t>
            </w:r>
          </w:p>
        </w:tc>
      </w:tr>
    </w:tbl>
    <w:p>
      <w:pPr>
        <w:pStyle w:val="Heading1"/>
      </w:pPr>
      <w:r>
        <w:t>30. Requirement Traceability</w:t>
      </w:r>
    </w:p>
    <w:tbl>
      <w:tblPr>
        <w:tblStyle w:val="TableGrid"/>
        <w:tblW w:type="auto" w:w="0"/>
        <w:jc w:val="center"/>
        <w:tblLook w:firstColumn="1" w:firstRow="1" w:lastColumn="0" w:lastRow="0" w:noHBand="0" w:noVBand="1" w:val="04A0"/>
      </w:tblPr>
      <w:tblGrid>
        <w:gridCol w:w="5227"/>
        <w:gridCol w:w="5227"/>
      </w:tblGrid>
      <w:tr>
        <w:tc>
          <w:tcPr>
            <w:tcW w:type="dxa" w:w="5227"/>
          </w:tcPr>
          <w:p>
            <w:r>
              <w:rPr>
                <w:b/>
              </w:rPr>
              <w:t>Source</w:t>
            </w:r>
          </w:p>
        </w:tc>
        <w:tc>
          <w:tcPr>
            <w:tcW w:type="dxa" w:w="5227"/>
          </w:tcPr>
          <w:p>
            <w:r>
              <w:rPr>
                <w:b/>
              </w:rPr>
              <w:t>Implementation/test trace</w:t>
            </w:r>
          </w:p>
        </w:tc>
      </w:tr>
      <w:tr>
        <w:tc>
          <w:tcPr>
            <w:tcW w:type="dxa" w:w="5227"/>
            <w:vAlign w:val="top"/>
          </w:tcPr>
          <w:p>
            <w:r>
              <w:t>FR-STK-001</w:t>
            </w:r>
          </w:p>
        </w:tc>
        <w:tc>
          <w:tcPr>
            <w:tcW w:type="dxa" w:w="5227"/>
            <w:vAlign w:val="top"/>
          </w:tcPr>
          <w:p>
            <w:r>
              <w:t>§7–8, §15–16; INV-T-003/014; INV-AC-001/002</w:t>
            </w:r>
          </w:p>
        </w:tc>
      </w:tr>
      <w:tr>
        <w:tc>
          <w:tcPr>
            <w:tcW w:type="dxa" w:w="5227"/>
            <w:vAlign w:val="top"/>
          </w:tcPr>
          <w:p>
            <w:r>
              <w:t>FR-STK-002</w:t>
            </w:r>
          </w:p>
        </w:tc>
        <w:tc>
          <w:tcPr>
            <w:tcW w:type="dxa" w:w="5227"/>
            <w:vAlign w:val="top"/>
          </w:tcPr>
          <w:p>
            <w:r>
              <w:t>§8, §15; INV-T-014/015; INV-AC-002</w:t>
            </w:r>
          </w:p>
        </w:tc>
      </w:tr>
      <w:tr>
        <w:tc>
          <w:tcPr>
            <w:tcW w:type="dxa" w:w="5227"/>
            <w:vAlign w:val="top"/>
          </w:tcPr>
          <w:p>
            <w:r>
              <w:t>FR-STK-003/004</w:t>
            </w:r>
          </w:p>
        </w:tc>
        <w:tc>
          <w:tcPr>
            <w:tcW w:type="dxa" w:w="5227"/>
            <w:vAlign w:val="top"/>
          </w:tcPr>
          <w:p>
            <w:r>
              <w:t>§7, §9; INV-T-004; INV-AC-003</w:t>
            </w:r>
          </w:p>
        </w:tc>
      </w:tr>
      <w:tr>
        <w:tc>
          <w:tcPr>
            <w:tcW w:type="dxa" w:w="5227"/>
            <w:vAlign w:val="top"/>
          </w:tcPr>
          <w:p>
            <w:r>
              <w:t>FR-STK-005</w:t>
            </w:r>
          </w:p>
        </w:tc>
        <w:tc>
          <w:tcPr>
            <w:tcW w:type="dxa" w:w="5227"/>
            <w:vAlign w:val="top"/>
          </w:tcPr>
          <w:p>
            <w:r>
              <w:t>§10, §14; INV-T-005/006/013/021; INV-AC-004</w:t>
            </w:r>
          </w:p>
        </w:tc>
      </w:tr>
      <w:tr>
        <w:tc>
          <w:tcPr>
            <w:tcW w:type="dxa" w:w="5227"/>
            <w:vAlign w:val="top"/>
          </w:tcPr>
          <w:p>
            <w:r>
              <w:t>FR-STK-006</w:t>
            </w:r>
          </w:p>
        </w:tc>
        <w:tc>
          <w:tcPr>
            <w:tcW w:type="dxa" w:w="5227"/>
            <w:vAlign w:val="top"/>
          </w:tcPr>
          <w:p>
            <w:r>
              <w:t>§23/25 deferred integration contract; INV-T-036; INV-AC-019</w:t>
            </w:r>
          </w:p>
        </w:tc>
      </w:tr>
      <w:tr>
        <w:tc>
          <w:tcPr>
            <w:tcW w:type="dxa" w:w="5227"/>
            <w:vAlign w:val="top"/>
          </w:tcPr>
          <w:p>
            <w:r>
              <w:t>FR-STK-007</w:t>
            </w:r>
          </w:p>
        </w:tc>
        <w:tc>
          <w:tcPr>
            <w:tcW w:type="dxa" w:w="5227"/>
            <w:vAlign w:val="top"/>
          </w:tcPr>
          <w:p>
            <w:r>
              <w:t>§23/25 deferred integration contract; INV-T-036; INV-AC-019</w:t>
            </w:r>
          </w:p>
        </w:tc>
      </w:tr>
      <w:tr>
        <w:tc>
          <w:tcPr>
            <w:tcW w:type="dxa" w:w="5227"/>
            <w:vAlign w:val="top"/>
          </w:tcPr>
          <w:p>
            <w:r>
              <w:t>FR-STK-008</w:t>
            </w:r>
          </w:p>
        </w:tc>
        <w:tc>
          <w:tcPr>
            <w:tcW w:type="dxa" w:w="5227"/>
            <w:vAlign w:val="top"/>
          </w:tcPr>
          <w:p>
            <w:r>
              <w:t>§13/20; INV-T-009–011; INV-AC-006/012</w:t>
            </w:r>
          </w:p>
        </w:tc>
      </w:tr>
      <w:tr>
        <w:tc>
          <w:tcPr>
            <w:tcW w:type="dxa" w:w="5227"/>
            <w:vAlign w:val="top"/>
          </w:tcPr>
          <w:p>
            <w:r>
              <w:t>FR-STK-009</w:t>
            </w:r>
          </w:p>
        </w:tc>
        <w:tc>
          <w:tcPr>
            <w:tcW w:type="dxa" w:w="5227"/>
            <w:vAlign w:val="top"/>
          </w:tcPr>
          <w:p>
            <w:r>
              <w:t>§12; INV-T-007/008; INV-AC-005</w:t>
            </w:r>
          </w:p>
        </w:tc>
      </w:tr>
      <w:tr>
        <w:tc>
          <w:tcPr>
            <w:tcW w:type="dxa" w:w="5227"/>
            <w:vAlign w:val="top"/>
          </w:tcPr>
          <w:p>
            <w:r>
              <w:t>FR-STK-010</w:t>
            </w:r>
          </w:p>
        </w:tc>
        <w:tc>
          <w:tcPr>
            <w:tcW w:type="dxa" w:w="5227"/>
            <w:vAlign w:val="top"/>
          </w:tcPr>
          <w:p>
            <w:r>
              <w:t>§14/23; INV-T-016–018/021; INV-AC-007</w:t>
            </w:r>
          </w:p>
        </w:tc>
      </w:tr>
      <w:tr>
        <w:tc>
          <w:tcPr>
            <w:tcW w:type="dxa" w:w="5227"/>
            <w:vAlign w:val="top"/>
          </w:tcPr>
          <w:p>
            <w:r>
              <w:t>FR-STK-011</w:t>
            </w:r>
          </w:p>
        </w:tc>
        <w:tc>
          <w:tcPr>
            <w:tcW w:type="dxa" w:w="5227"/>
            <w:vAlign w:val="top"/>
          </w:tcPr>
          <w:p>
            <w:r>
              <w:t>§9/22/24; INV-T-002/019/020; INV-AC-008</w:t>
            </w:r>
          </w:p>
        </w:tc>
      </w:tr>
      <w:tr>
        <w:tc>
          <w:tcPr>
            <w:tcW w:type="dxa" w:w="5227"/>
            <w:vAlign w:val="top"/>
          </w:tcPr>
          <w:p>
            <w:r>
              <w:t>FR-STK-012/013</w:t>
            </w:r>
          </w:p>
        </w:tc>
        <w:tc>
          <w:tcPr>
            <w:tcW w:type="dxa" w:w="5227"/>
            <w:vAlign w:val="top"/>
          </w:tcPr>
          <w:p>
            <w:r>
              <w:t>§11; INV-T-012/023/024; INV-AC-009</w:t>
            </w:r>
          </w:p>
        </w:tc>
      </w:tr>
      <w:tr>
        <w:tc>
          <w:tcPr>
            <w:tcW w:type="dxa" w:w="5227"/>
            <w:vAlign w:val="top"/>
          </w:tcPr>
          <w:p>
            <w:r>
              <w:t>FR-STK-014</w:t>
            </w:r>
          </w:p>
        </w:tc>
        <w:tc>
          <w:tcPr>
            <w:tcW w:type="dxa" w:w="5227"/>
            <w:vAlign w:val="top"/>
          </w:tcPr>
          <w:p>
            <w:r>
              <w:t>§17; INV-T-025; INV-AC-010</w:t>
            </w:r>
          </w:p>
        </w:tc>
      </w:tr>
      <w:tr>
        <w:tc>
          <w:tcPr>
            <w:tcW w:type="dxa" w:w="5227"/>
            <w:vAlign w:val="top"/>
          </w:tcPr>
          <w:p>
            <w:r>
              <w:t>FR-STK-015</w:t>
            </w:r>
          </w:p>
        </w:tc>
        <w:tc>
          <w:tcPr>
            <w:tcW w:type="dxa" w:w="5227"/>
            <w:vAlign w:val="top"/>
          </w:tcPr>
          <w:p>
            <w:r>
              <w:t>§16/22; INV-T-008/015/022/030/031; INV-AC-011</w:t>
            </w:r>
          </w:p>
        </w:tc>
      </w:tr>
      <w:tr>
        <w:tc>
          <w:tcPr>
            <w:tcW w:type="dxa" w:w="5227"/>
            <w:vAlign w:val="top"/>
          </w:tcPr>
          <w:p>
            <w:r>
              <w:t>US-STK-001</w:t>
            </w:r>
          </w:p>
        </w:tc>
        <w:tc>
          <w:tcPr>
            <w:tcW w:type="dxa" w:w="5227"/>
            <w:vAlign w:val="top"/>
          </w:tcPr>
          <w:p>
            <w:r>
              <w:t>§14/24; INV-T-016–021; INV-AC-007/008</w:t>
            </w:r>
          </w:p>
        </w:tc>
      </w:tr>
      <w:tr>
        <w:tc>
          <w:tcPr>
            <w:tcW w:type="dxa" w:w="5227"/>
            <w:vAlign w:val="top"/>
          </w:tcPr>
          <w:p>
            <w:r>
              <w:t>US-STK-002</w:t>
            </w:r>
          </w:p>
        </w:tc>
        <w:tc>
          <w:tcPr>
            <w:tcW w:type="dxa" w:w="5227"/>
            <w:vAlign w:val="top"/>
          </w:tcPr>
          <w:p>
            <w:r>
              <w:t>§13/15/21; INV-T-014/015/029; INV-AC-002/006/014</w:t>
            </w:r>
          </w:p>
        </w:tc>
      </w:tr>
      <w:tr>
        <w:tc>
          <w:tcPr>
            <w:tcW w:type="dxa" w:w="5227"/>
            <w:vAlign w:val="top"/>
          </w:tcPr>
          <w:p>
            <w:r>
              <w:t>ARP-01 Stock matrix</w:t>
            </w:r>
          </w:p>
        </w:tc>
        <w:tc>
          <w:tcPr>
            <w:tcW w:type="dxa" w:w="5227"/>
            <w:vAlign w:val="top"/>
          </w:tcPr>
          <w:p>
            <w:r>
              <w:t>§20; INV-T-009/010/026/027; INV-AC-012/013</w:t>
            </w:r>
          </w:p>
        </w:tc>
      </w:tr>
      <w:tr>
        <w:tc>
          <w:tcPr>
            <w:tcW w:type="dxa" w:w="5227"/>
            <w:vAlign w:val="top"/>
          </w:tcPr>
          <w:p>
            <w:r>
              <w:t>FR-ADM-007–009</w:t>
            </w:r>
          </w:p>
        </w:tc>
        <w:tc>
          <w:tcPr>
            <w:tcW w:type="dxa" w:w="5227"/>
            <w:vAlign w:val="top"/>
          </w:tcPr>
          <w:p>
            <w:r>
              <w:t>§21; INV-T-029; INV-AC-014</w:t>
            </w:r>
          </w:p>
        </w:tc>
      </w:tr>
    </w:tbl>
    <w:p>
      <w:pPr>
        <w:pStyle w:val="Heading1"/>
      </w:pPr>
      <w:r>
        <w:t>31. Spec-Driven Implementation Workflow</w:t>
      </w:r>
    </w:p>
    <w:p>
      <w:pPr>
        <w:pStyle w:val="ListNumber"/>
      </w:pPr>
      <w:r>
        <w:t>Read the parent SRS Inventory section, relevant user stories, MD-01 Final v3, ARP-01 Final v3 and this entire INV-01 specification before editing.</w:t>
      </w:r>
    </w:p>
    <w:p>
      <w:pPr>
        <w:pStyle w:val="ListNumber"/>
      </w:pPr>
      <w:r>
        <w:t>Inspect the actual repository and record restore/build/test baseline.</w:t>
      </w:r>
    </w:p>
    <w:p>
      <w:pPr>
        <w:pStyle w:val="ListNumber"/>
      </w:pPr>
      <w:r>
        <w:t>Create an internal checklist mapping FR-STK-001–015, INV-T-001–036 and INV-AC-001–025.</w:t>
      </w:r>
    </w:p>
    <w:p>
      <w:pPr>
        <w:pStyle w:val="ListNumber"/>
      </w:pPr>
      <w:r>
        <w:t>Implement inventory domain state/invariants and persistence mappings without later-module models.</w:t>
      </w:r>
    </w:p>
    <w:p>
      <w:pPr>
        <w:pStyle w:val="ListNumber"/>
      </w:pPr>
      <w:r>
        <w:t>Implement SQL rowversion, relational idempotency/reversal constraints and warehouse negative-stock configuration.</w:t>
      </w:r>
    </w:p>
    <w:p>
      <w:pPr>
        <w:pStyle w:val="ListNumber"/>
      </w:pPr>
      <w:r>
        <w:t>Implement transactional posting primitives and weighted-average calculations.</w:t>
      </w:r>
    </w:p>
    <w:p>
      <w:pPr>
        <w:pStyle w:val="ListNumber"/>
      </w:pPr>
      <w:r>
        <w:t>Implement opening balance, adjustment/post/reverse and transfer/post slices.</w:t>
      </w:r>
    </w:p>
    <w:p>
      <w:pPr>
        <w:pStyle w:val="ListNumber"/>
      </w:pPr>
      <w:r>
        <w:t>Implement inventory queries/reorder alerts.</w:t>
      </w:r>
    </w:p>
    <w:p>
      <w:pPr>
        <w:pStyle w:val="ListNumber"/>
      </w:pPr>
      <w:r>
        <w:t>Attach exact ARP-01 policies/capabilities and reuse audit/current-user infrastructure.</w:t>
      </w:r>
    </w:p>
    <w:p>
      <w:pPr>
        <w:pStyle w:val="ListNumber"/>
      </w:pPr>
      <w:r>
        <w:t>Generate and inspect the Phase-4 EF migration.</w:t>
      </w:r>
    </w:p>
    <w:p>
      <w:pPr>
        <w:pStyle w:val="ListNumber"/>
      </w:pPr>
      <w:r>
        <w:t>Implement tests alongside each behavior, including real SQL Server concurrency/transaction tests.</w:t>
      </w:r>
    </w:p>
    <w:p>
      <w:pPr>
        <w:pStyle w:val="ListNumber"/>
      </w:pPr>
      <w:r>
        <w:t>Run targeted tests continuously; fix defects rather than deferring them.</w:t>
      </w:r>
    </w:p>
    <w:p>
      <w:pPr>
        <w:pStyle w:val="ListNumber"/>
      </w:pPr>
      <w:r>
        <w:t>Run complete solution regression suite.</w:t>
      </w:r>
    </w:p>
    <w:p>
      <w:pPr>
        <w:pStyle w:val="ListNumber"/>
      </w:pPr>
      <w:r>
        <w:t>Perform a second-pass compliance audit against every requirement/test/acceptance criterion.</w:t>
      </w:r>
    </w:p>
    <w:p>
      <w:pPr>
        <w:pStyle w:val="ListNumber"/>
      </w:pPr>
      <w:r>
        <w:t>Only then declare Phase 4 complete. Do not start the next phase.</w:t>
      </w:r>
    </w:p>
    <w:p>
      <w:pPr>
        <w:pStyle w:val="Heading1"/>
      </w:pPr>
      <w:r>
        <w:t>32. Non-Negotiable Guardrails</w:t>
      </w:r>
    </w:p>
    <w:p>
      <w:pPr>
        <w:pStyle w:val="ListBullet"/>
      </w:pPr>
      <w:r>
        <w:t>Parent SRS wins if this child document conflicts with it.</w:t>
      </w:r>
    </w:p>
    <w:p>
      <w:pPr>
        <w:pStyle w:val="ListBullet"/>
      </w:pPr>
      <w:r>
        <w:t>Do not invent Invoice, Sales Order, PO or GRN domain models to close deferred integrations.</w:t>
      </w:r>
    </w:p>
    <w:p>
      <w:pPr>
        <w:pStyle w:val="ListBullet"/>
      </w:pPr>
      <w:r>
        <w:t>Do not mutate/delete posted ledger history.</w:t>
      </w:r>
    </w:p>
    <w:p>
      <w:pPr>
        <w:pStyle w:val="ListBullet"/>
      </w:pPr>
      <w:r>
        <w:t>Do not allow a balance update without the corresponding posting ledger effect where a ledger effect is required.</w:t>
      </w:r>
    </w:p>
    <w:p>
      <w:pPr>
        <w:pStyle w:val="ListBullet"/>
      </w:pPr>
      <w:r>
        <w:t>Do not calculate AvailableQuantity using a formula other than QtyOnHand - QtyReserved.</w:t>
      </w:r>
    </w:p>
    <w:p>
      <w:pPr>
        <w:pStyle w:val="ListBullet"/>
      </w:pPr>
      <w:r>
        <w:t>Do not use FIFO/LIFO/standard cost in place of weighted average.</w:t>
      </w:r>
    </w:p>
    <w:p>
      <w:pPr>
        <w:pStyle w:val="ListBullet"/>
      </w:pPr>
      <w:r>
        <w:t>Do not bypass SQL rowversion with last-write-wins updates.</w:t>
      </w:r>
    </w:p>
    <w:p>
      <w:pPr>
        <w:pStyle w:val="ListBullet"/>
      </w:pPr>
      <w:r>
        <w:t>Do not permit negative stock by default.</w:t>
      </w:r>
    </w:p>
    <w:p>
      <w:pPr>
        <w:pStyle w:val="ListBullet"/>
      </w:pPr>
      <w:r>
        <w:t>Do not implement company scope solely to satisfy FR-STK-013; Warehouse configuration is explicitly permitted by the parent.</w:t>
      </w:r>
    </w:p>
    <w:p>
      <w:pPr>
        <w:pStyle w:val="ListBullet"/>
      </w:pPr>
      <w:r>
        <w:t>Do not invent new permission codes or role grants.</w:t>
      </w:r>
    </w:p>
    <w:p>
      <w:pPr>
        <w:pStyle w:val="ListBullet"/>
      </w:pPr>
      <w:r>
        <w:t>Do not replace ARP-01 authorization/audit/current-user infrastructure.</w:t>
      </w:r>
    </w:p>
    <w:p>
      <w:pPr>
        <w:pStyle w:val="ListBullet"/>
      </w:pPr>
      <w:r>
        <w:t>Do not use EF InMemory as proof of relational concurrency/idempotency/transaction behavior.</w:t>
      </w:r>
    </w:p>
    <w:p>
      <w:pPr>
        <w:pStyle w:val="ListBullet"/>
      </w:pPr>
      <w:r>
        <w:t>Do not add a generic repository.</w:t>
      </w:r>
    </w:p>
    <w:p>
      <w:pPr>
        <w:pStyle w:val="ListBullet"/>
      </w:pPr>
      <w:r>
        <w:t>Do not create redundant XRequest DTOs.</w:t>
      </w:r>
    </w:p>
    <w:p>
      <w:pPr>
        <w:pStyle w:val="ListBullet"/>
      </w:pPr>
      <w:r>
        <w:t>Do not expose EF/Domain entities over HTTP.</w:t>
      </w:r>
    </w:p>
    <w:p>
      <w:pPr>
        <w:pStyle w:val="ListBullet"/>
      </w:pPr>
      <w:r>
        <w:t>Do not proceed into later phases.</w:t>
      </w:r>
    </w:p>
    <w:p>
      <w:pPr>
        <w:pStyle w:val="Heading1"/>
      </w:pPr>
      <w:r>
        <w:t>33. Definition of Done</w:t>
      </w:r>
    </w:p>
    <w:p>
      <w:pPr>
        <w:pStyle w:val="ListBullet"/>
      </w:pPr>
      <w:r>
        <w:t>All Phase-4-owned FR-STK behavior is implemented.</w:t>
      </w:r>
    </w:p>
    <w:p>
      <w:pPr>
        <w:pStyle w:val="ListBullet"/>
      </w:pPr>
      <w:r>
        <w:t>US-STK-001 and US-STK-002 scenarios are proven.</w:t>
      </w:r>
    </w:p>
    <w:p>
      <w:pPr>
        <w:pStyle w:val="ListBullet"/>
      </w:pPr>
      <w:r>
        <w:t>Cross-module FR-STK-006/007 and reservation integrations are engine-ready and explicitly deferred exactly as §25 states.</w:t>
      </w:r>
    </w:p>
    <w:p>
      <w:pPr>
        <w:pStyle w:val="ListBullet"/>
      </w:pPr>
      <w:r>
        <w:t>INV-T-001 through INV-T-036 have passing evidence, with no skipped tests in final accepted run.</w:t>
      </w:r>
    </w:p>
    <w:p>
      <w:pPr>
        <w:pStyle w:val="ListBullet"/>
      </w:pPr>
      <w:r>
        <w:t>INV-AC-001 through INV-AC-025 are individually audited.</w:t>
      </w:r>
    </w:p>
    <w:p>
      <w:pPr>
        <w:pStyle w:val="ListBullet"/>
      </w:pPr>
      <w:r>
        <w:t>Phase-4 migration is inspected, applies cleanly, and has no unintended model drift.</w:t>
      </w:r>
    </w:p>
    <w:p>
      <w:pPr>
        <w:pStyle w:val="ListBullet"/>
      </w:pPr>
      <w:r>
        <w:t>Complete solution builds with 0 errors and existing regressions remain green.</w:t>
      </w:r>
    </w:p>
    <w:p>
      <w:pPr>
        <w:pStyle w:val="ListBullet"/>
      </w:pPr>
      <w:r>
        <w:t>No TODO/FIXME/placeholder or temporary bypass remains for Phase-4 requirements.</w:t>
      </w:r>
    </w:p>
    <w:p>
      <w:pPr>
        <w:pStyle w:val="ListBullet"/>
      </w:pPr>
      <w:r>
        <w:t>Final implementation report lists migration, test totals, SQL status, traceability, legitimate deferrals and any deviations.</w:t>
      </w:r>
    </w:p>
    <w:p>
      <w:pPr>
        <w:pStyle w:val="ListBullet"/>
      </w:pPr>
      <w:r>
        <w:t>Final status may be declared PHASE 4 / INV-01 COMPLETE only after the entire specification is satisfied.</w:t>
      </w:r>
    </w:p>
    <w:p>
      <w:pPr>
        <w:pStyle w:val="Heading1"/>
      </w:pPr>
      <w:r>
        <w:t>34. Note on Parent-SRS Fidelity</w:t>
      </w:r>
    </w:p>
    <w:p>
      <w:r>
        <w:t>INV-01 introduces no project-level business feature outside the parent SRS. Where implementation detail is necessary, this document chooses the minimum design needed to make the parent inventory requirements executable within the already accepted architecture. Warehouse-level negative-stock configuration is used because FR-STK-013 explicitly permits configuration by company OR warehouse and Warehouse already exists. Invoice, GRN and Sales Order integrations are not invented early; their parent-required inventory effects remain traceable deferred proofs for the later phases that own those source documents.</w:t>
      </w:r>
    </w:p>
    <w:sectPr w:rsidR="00FC693F" w:rsidRPr="0006063C" w:rsidSect="00034616">
      <w:footerReference w:type="default" r:id="rId9"/>
      <w:pgSz w:w="12240" w:h="15840"/>
      <w:pgMar w:top="835"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JTradeERP Phase 4 - INV-01 Final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b w:val="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