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315220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40"/>
          <w:szCs w:val="40"/>
          <w:lang w:eastAsia="en-IN"/>
        </w:rPr>
        <w:t>📊</w:t>
      </w:r>
      <w:r w:rsidRPr="00841FB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Multivariate Analysis Report</w:t>
      </w:r>
      <w:r w:rsidRPr="00841FBB">
        <w:rPr>
          <w:rFonts w:ascii="Times New Roman" w:eastAsia="Times New Roman" w:hAnsi="Times New Roman" w:cs="Times New Roman"/>
          <w:sz w:val="40"/>
          <w:szCs w:val="40"/>
          <w:lang w:eastAsia="en-IN"/>
        </w:rPr>
        <w:br/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Uncovering Interactions in Indian Crop Insurance Data (2018–2022)</w:t>
      </w:r>
    </w:p>
    <w:p w14:paraId="772873CF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BD25E">
          <v:rect id="_x0000_i1025" style="width:0;height:1.5pt" o:hralign="center" o:hrstd="t" o:hr="t" fillcolor="#a0a0a0" stroked="f"/>
        </w:pict>
      </w:r>
    </w:p>
    <w:p w14:paraId="65EFB266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379BE9F7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To explore complex, high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dimensional interactions among financial metrics, demographic patterns, regional characteristics, schemes, and seasons. We employed multivariate methods—including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Component Analysis (PCA)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—to reduce dimensionality and surface actionable patterns.</w:t>
      </w:r>
    </w:p>
    <w:p w14:paraId="736B8CAF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22DC6">
          <v:rect id="_x0000_i1026" style="width:0;height:1.5pt" o:hralign="center" o:hrstd="t" o:hr="t" fillcolor="#a0a0a0" stroked="f"/>
        </w:pict>
      </w:r>
    </w:p>
    <w:p w14:paraId="0000FB42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841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Multivariate Findings</w:t>
      </w:r>
    </w:p>
    <w:p w14:paraId="40B3B2D2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2E5A9">
          <v:rect id="_x0000_i1027" style="width:0;height:1.5pt" o:hralign="center" o:hrstd="t" o:hr="t" fillcolor="#a0a0a0" stroked="f"/>
        </w:pict>
      </w:r>
    </w:p>
    <w:p w14:paraId="48E003B2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Scheme Dynamics &amp; Financial Structure</w:t>
      </w:r>
    </w:p>
    <w:p w14:paraId="54FAB076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Insured vs Gross Premium by Scheme</w:t>
      </w:r>
    </w:p>
    <w:p w14:paraId="30506ED1" w14:textId="77777777" w:rsidR="00841FBB" w:rsidRPr="00841FBB" w:rsidRDefault="00841FBB" w:rsidP="00841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PMFBY</w:t>
      </w:r>
    </w:p>
    <w:p w14:paraId="18B81A80" w14:textId="77777777" w:rsidR="00841FBB" w:rsidRPr="00841FBB" w:rsidRDefault="00841FBB" w:rsidP="00841F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Range: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₹250 – ₹80,000 (approx.)</w:t>
      </w:r>
    </w:p>
    <w:p w14:paraId="69DD5A6B" w14:textId="77777777" w:rsidR="00841FBB" w:rsidRPr="00841FBB" w:rsidRDefault="00841FBB" w:rsidP="00841F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Insured Range: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₹1,000 – ₹535,000</w:t>
      </w:r>
    </w:p>
    <w:p w14:paraId="6BE2A45E" w14:textId="77777777" w:rsidR="00841FBB" w:rsidRPr="00841FBB" w:rsidRDefault="00841FBB" w:rsidP="00841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WBCIS</w:t>
      </w:r>
    </w:p>
    <w:p w14:paraId="70C8A0C2" w14:textId="77777777" w:rsidR="00841FBB" w:rsidRPr="00841FBB" w:rsidRDefault="00841FBB" w:rsidP="00841F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Range: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₹200 – ₹5,589</w:t>
      </w:r>
    </w:p>
    <w:p w14:paraId="5BCC20FF" w14:textId="77777777" w:rsidR="00841FBB" w:rsidRPr="00841FBB" w:rsidRDefault="00841FBB" w:rsidP="00841F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Exceptional Outlier: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Andhra Pradesh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an average WBCIS premium of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₹5,589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, far above other states.</w:t>
      </w:r>
    </w:p>
    <w:p w14:paraId="411AAD7B" w14:textId="77777777" w:rsidR="00841FBB" w:rsidRPr="00841FBB" w:rsidRDefault="00841FBB" w:rsidP="00841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Logic: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schemes lie on the same regression line (r ≈ 0.95), confirming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uniform premium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as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%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of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sum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insured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7E0F2B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PMFBY is the financial workhorse—covering both low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 and high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value policies—while WBCIS serves a niche (except AP) and shifts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19%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premium burden onto farmers versus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14%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PMFBY.</w:t>
      </w:r>
    </w:p>
    <w:p w14:paraId="7A18A308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17156">
          <v:rect id="_x0000_i1028" style="width:0;height:1.5pt" o:hralign="center" o:hrstd="t" o:hr="t" fillcolor="#a0a0a0" stroked="f"/>
        </w:pict>
      </w:r>
    </w:p>
    <w:p w14:paraId="1E3375E0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Demographic Intersections</w:t>
      </w:r>
    </w:p>
    <w:p w14:paraId="373DD18A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Plots: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Heatmap of %Male &amp; %Female vs Total Policies; Scatter of %Small vs Area Insured</w:t>
      </w:r>
    </w:p>
    <w:p w14:paraId="599C79B1" w14:textId="77777777" w:rsidR="00841FBB" w:rsidRPr="00841FBB" w:rsidRDefault="00841FBB" w:rsidP="00841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 Participation: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Districts with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80–85% male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10–15% female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farmers account for the highest volumes (mean &gt; 427,000 policies).</w:t>
      </w:r>
    </w:p>
    <w:p w14:paraId="62F55DFB" w14:textId="77777777" w:rsidR="00841FBB" w:rsidRPr="00841FBB" w:rsidRDefault="00841FBB" w:rsidP="00841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Farmer Size vs Area: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clear correlation (r ≈ 0); small and marginal farmer shares are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inversely related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compositional constraints.</w:t>
      </w:r>
    </w:p>
    <w:p w14:paraId="7A23487C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Male-dominated districts drive scale.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 composition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alone doesn’t predict uptake, nor does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farmer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type mix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 land coverage—policy design must address fragmented holdings and female outreach.</w:t>
      </w:r>
    </w:p>
    <w:p w14:paraId="36A0C93D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5F47F">
          <v:rect id="_x0000_i1029" style="width:0;height:1.5pt" o:hralign="center" o:hrstd="t" o:hr="t" fillcolor="#a0a0a0" stroked="f"/>
        </w:pict>
      </w:r>
    </w:p>
    <w:p w14:paraId="5154FD4E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Triangular Financial Interaction</w:t>
      </w:r>
    </w:p>
    <w:p w14:paraId="44867280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Pairplot of Area Insured, Sum Insured, Gross Premium</w:t>
      </w:r>
    </w:p>
    <w:p w14:paraId="74E3782E" w14:textId="77777777" w:rsidR="00841FBB" w:rsidRPr="00841FBB" w:rsidRDefault="00841FBB" w:rsidP="00841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 ↔ Premium: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tight linearity (r ≈ 0.95).</w:t>
      </w:r>
    </w:p>
    <w:p w14:paraId="55867B30" w14:textId="77777777" w:rsidR="00841FBB" w:rsidRPr="00841FBB" w:rsidRDefault="00841FBB" w:rsidP="00841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↔ Financials: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Diffuse scatter (r ≈ 0.60 with sum; r ≈ 0.58 with premium).</w:t>
      </w:r>
    </w:p>
    <w:p w14:paraId="2330D1A8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based metrics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(sum, premium) are far more predictive than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area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. Recommend focusing on financial indicators for risk modeling and scheme targeting.</w:t>
      </w:r>
    </w:p>
    <w:p w14:paraId="22E7DF1E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1502E">
          <v:rect id="_x0000_i1030" style="width:0;height:1.5pt" o:hralign="center" o:hrstd="t" o:hr="t" fillcolor="#a0a0a0" stroked="f"/>
        </w:pict>
      </w:r>
    </w:p>
    <w:p w14:paraId="34674782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Seasonality vs Scale</w:t>
      </w:r>
    </w:p>
    <w:p w14:paraId="792F163F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Policies vs Area Insured by Season</w:t>
      </w:r>
    </w:p>
    <w:p w14:paraId="1E756ECB" w14:textId="77777777" w:rsidR="00841FBB" w:rsidRPr="00841FBB" w:rsidRDefault="00841FBB" w:rsidP="00841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 Overlap: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Kharif and Rabi points largely intermingled.</w:t>
      </w:r>
    </w:p>
    <w:p w14:paraId="1A28179F" w14:textId="77777777" w:rsidR="00841FBB" w:rsidRPr="00841FBB" w:rsidRDefault="00841FBB" w:rsidP="00841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Consistency: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area and policies nearly identical across seasons (±2–3%).</w:t>
      </w:r>
    </w:p>
    <w:p w14:paraId="0F1EF93E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a primary driver of uptake variance—structural factors (demographics, region) dominate.</w:t>
      </w:r>
    </w:p>
    <w:p w14:paraId="324C8821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DB65A">
          <v:rect id="_x0000_i1031" style="width:0;height:1.5pt" o:hralign="center" o:hrstd="t" o:hr="t" fillcolor="#a0a0a0" stroked="f"/>
        </w:pict>
      </w:r>
    </w:p>
    <w:p w14:paraId="3D0F3434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Subsidy Composition</w:t>
      </w:r>
    </w:p>
    <w:p w14:paraId="0B527D0B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Stacked/Grouped Bar of Farmer, Central, State Shares</w:t>
      </w:r>
    </w:p>
    <w:p w14:paraId="7693D3C7" w14:textId="77777777" w:rsidR="00841FBB" w:rsidRPr="00841FBB" w:rsidRDefault="00841FBB" w:rsidP="00841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Subsidy Levels:</w:t>
      </w:r>
    </w:p>
    <w:p w14:paraId="20306FC2" w14:textId="77777777" w:rsidR="00841FBB" w:rsidRPr="00841FBB" w:rsidRDefault="00841FBB" w:rsidP="00841F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PMFBY average premium ≈ ₹2,440; WBCIS ≈ ₹1,380</w:t>
      </w:r>
    </w:p>
    <w:p w14:paraId="7D3C1FB1" w14:textId="77777777" w:rsidR="00841FBB" w:rsidRPr="00841FBB" w:rsidRDefault="00841FBB" w:rsidP="00841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Split:</w:t>
      </w:r>
    </w:p>
    <w:p w14:paraId="0698CEAD" w14:textId="77777777" w:rsidR="00841FBB" w:rsidRPr="00841FBB" w:rsidRDefault="00841FBB" w:rsidP="00841F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PMFBY: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Farmer 14%, GoI 44%, State 42%</w:t>
      </w:r>
    </w:p>
    <w:p w14:paraId="2F3D829D" w14:textId="77777777" w:rsidR="00841FBB" w:rsidRPr="00841FBB" w:rsidRDefault="00841FBB" w:rsidP="00841F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WBCIS: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Farmer 19%, GoI 40%, State 41%</w:t>
      </w:r>
    </w:p>
    <w:p w14:paraId="65C88A9D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Both schemes rely on heavy government subsidy.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WBCIS farmers bear ~36% more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cost burden, suggesting a need to rebalance.</w:t>
      </w:r>
    </w:p>
    <w:p w14:paraId="597A911C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B952AB">
          <v:rect id="_x0000_i1032" style="width:0;height:1.5pt" o:hralign="center" o:hrstd="t" o:hr="t" fillcolor="#a0a0a0" stroked="f"/>
        </w:pict>
      </w:r>
    </w:p>
    <w:p w14:paraId="4E1DC479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Regional Scheme Bias</w:t>
      </w:r>
    </w:p>
    <w:p w14:paraId="670745F9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Heatmap of Avg Premium by State &amp; Scheme</w:t>
      </w:r>
    </w:p>
    <w:p w14:paraId="1D145081" w14:textId="77777777" w:rsidR="00841FBB" w:rsidRPr="00841FBB" w:rsidRDefault="00841FBB" w:rsidP="00841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PMFBY High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Premium States:</w:t>
      </w:r>
    </w:p>
    <w:p w14:paraId="2F611FAF" w14:textId="77777777" w:rsidR="00841FBB" w:rsidRPr="00841FBB" w:rsidRDefault="00841FBB" w:rsidP="00841F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Rajasthan (₹8,298), Maharashtra (₹8,295), Andhra Pradesh (₹5,942), Madhya Pradesh (₹5,246), Tamil Nadu (₹4,310)</w:t>
      </w:r>
    </w:p>
    <w:p w14:paraId="3C09469B" w14:textId="77777777" w:rsidR="00841FBB" w:rsidRPr="00841FBB" w:rsidRDefault="00841FBB" w:rsidP="00841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WBCIS Outlier: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Andhra Pradesh (₹5,589) far above other states’ WBCIS average (₹500–₹1,200).</w:t>
      </w:r>
    </w:p>
    <w:p w14:paraId="727E6B08" w14:textId="76DCF81B" w:rsidR="009E2A31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Insurance structure is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regional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Policy models and subsidy levels should be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state-sensitive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in AP for WBCIS.</w:t>
      </w:r>
    </w:p>
    <w:p w14:paraId="0502612D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537E6">
          <v:rect id="_x0000_i1033" style="width:0;height:1.5pt" o:hralign="center" o:hrstd="t" o:hr="t" fillcolor="#a0a0a0" stroked="f"/>
        </w:pict>
      </w:r>
    </w:p>
    <w:p w14:paraId="74504D83" w14:textId="4BFB0550" w:rsidR="009E2A31" w:rsidRDefault="009E2A31" w:rsidP="009E2A31">
      <w:pPr>
        <w:pStyle w:val="NormalWeb"/>
      </w:pPr>
      <w:r>
        <w:rPr>
          <w:b/>
          <w:bCs/>
          <w:sz w:val="27"/>
          <w:szCs w:val="27"/>
        </w:rPr>
        <w:t xml:space="preserve">7. </w:t>
      </w:r>
      <w:r>
        <w:t>Th</w:t>
      </w:r>
      <w:r>
        <w:t>e</w:t>
      </w:r>
      <w:r>
        <w:t xml:space="preserve"> multivariate correlation matrix provides a comprehensive overview of the linear relationships between all key variables in the dataset, including the numerically encoded categorical features.</w:t>
      </w:r>
    </w:p>
    <w:p w14:paraId="47BA9E04" w14:textId="77777777" w:rsidR="009E2A31" w:rsidRDefault="009E2A31" w:rsidP="009E2A31">
      <w:pPr>
        <w:pStyle w:val="Heading3"/>
      </w:pPr>
      <w:r>
        <w:t>Key Findings</w:t>
      </w:r>
    </w:p>
    <w:p w14:paraId="5D4CCA01" w14:textId="77777777" w:rsidR="009E2A31" w:rsidRDefault="009E2A31" w:rsidP="009E2A31">
      <w:pPr>
        <w:pStyle w:val="NormalWeb"/>
        <w:numPr>
          <w:ilvl w:val="0"/>
          <w:numId w:val="10"/>
        </w:numPr>
      </w:pPr>
      <w:r>
        <w:rPr>
          <w:b/>
          <w:bCs/>
        </w:rPr>
        <w:t>Confirmation of Strong Financial Linkages</w:t>
      </w:r>
      <w:r>
        <w:t xml:space="preserve">: The top-left corner of the heatmap shows very strong positive correlations (deep red) among all core financial and scale metrics. </w:t>
      </w:r>
      <w:r>
        <w:rPr>
          <w:rStyle w:val="citation-363"/>
        </w:rPr>
        <w:t xml:space="preserve">For example, the correlation between </w:t>
      </w:r>
    </w:p>
    <w:p w14:paraId="65EE7E4C" w14:textId="77777777" w:rsidR="009E2A31" w:rsidRDefault="009E2A31" w:rsidP="009E2A31">
      <w:pPr>
        <w:pStyle w:val="NormalWeb"/>
        <w:ind w:left="720"/>
      </w:pPr>
      <w:r>
        <w:rPr>
          <w:rStyle w:val="citation-363"/>
          <w:rFonts w:ascii="Courier New" w:hAnsi="Courier New" w:cs="Courier New"/>
          <w:b/>
          <w:bCs/>
          <w:sz w:val="20"/>
          <w:szCs w:val="20"/>
        </w:rPr>
        <w:t>sum_insured</w:t>
      </w:r>
      <w:r>
        <w:rPr>
          <w:rStyle w:val="citation-363"/>
        </w:rPr>
        <w:t xml:space="preserve"> and </w:t>
      </w:r>
      <w:r>
        <w:rPr>
          <w:rStyle w:val="citation-363"/>
          <w:rFonts w:ascii="Courier New" w:hAnsi="Courier New" w:cs="Courier New"/>
          <w:b/>
          <w:bCs/>
          <w:sz w:val="20"/>
          <w:szCs w:val="20"/>
        </w:rPr>
        <w:t>gross_premium</w:t>
      </w:r>
      <w:r>
        <w:rPr>
          <w:rStyle w:val="citation-363"/>
        </w:rPr>
        <w:t xml:space="preserve"> is </w:t>
      </w:r>
      <w:r>
        <w:rPr>
          <w:rStyle w:val="citation-363"/>
          <w:b/>
          <w:bCs/>
        </w:rPr>
        <w:t>0.88</w:t>
      </w:r>
      <w:r>
        <w:rPr>
          <w:rStyle w:val="citation-363"/>
        </w:rPr>
        <w:t xml:space="preserve">, and the correlation between </w:t>
      </w:r>
      <w:r>
        <w:rPr>
          <w:rStyle w:val="citation-363"/>
          <w:rFonts w:ascii="Courier New" w:hAnsi="Courier New" w:cs="Courier New"/>
          <w:b/>
          <w:bCs/>
          <w:sz w:val="20"/>
          <w:szCs w:val="20"/>
        </w:rPr>
        <w:t>total_policies</w:t>
      </w:r>
      <w:r>
        <w:rPr>
          <w:rStyle w:val="citation-363"/>
        </w:rPr>
        <w:t xml:space="preserve"> and </w:t>
      </w:r>
      <w:r>
        <w:rPr>
          <w:rStyle w:val="citation-363"/>
          <w:rFonts w:ascii="Courier New" w:hAnsi="Courier New" w:cs="Courier New"/>
          <w:b/>
          <w:bCs/>
          <w:sz w:val="20"/>
          <w:szCs w:val="20"/>
        </w:rPr>
        <w:t>sum_insured</w:t>
      </w:r>
      <w:r>
        <w:rPr>
          <w:rStyle w:val="citation-363"/>
        </w:rPr>
        <w:t xml:space="preserve"> is </w:t>
      </w:r>
      <w:r>
        <w:rPr>
          <w:rStyle w:val="citation-363"/>
          <w:b/>
          <w:bCs/>
        </w:rPr>
        <w:t>0.71</w:t>
      </w:r>
      <w:r>
        <w:t>. This confirms that the financial and operational aspects of the schemes are tightly interlinked.</w:t>
      </w:r>
    </w:p>
    <w:p w14:paraId="09702612" w14:textId="77777777" w:rsidR="009E2A31" w:rsidRDefault="009E2A31" w:rsidP="009E2A31">
      <w:pPr>
        <w:pStyle w:val="NormalWeb"/>
        <w:numPr>
          <w:ilvl w:val="0"/>
          <w:numId w:val="10"/>
        </w:numPr>
      </w:pPr>
      <w:r>
        <w:rPr>
          <w:b/>
          <w:bCs/>
        </w:rPr>
        <w:t>Expected Demographic Relationships</w:t>
      </w:r>
      <w:r>
        <w:t xml:space="preserve">: The demographic variables show strong internal correlations that reflect their compositional nature. </w:t>
      </w:r>
      <w:r>
        <w:rPr>
          <w:rStyle w:val="citation-362"/>
        </w:rPr>
        <w:t xml:space="preserve">The most prominent are the perfect negative correlation between </w:t>
      </w:r>
    </w:p>
    <w:p w14:paraId="2E7128B4" w14:textId="77777777" w:rsidR="009E2A31" w:rsidRDefault="009E2A31" w:rsidP="009E2A31">
      <w:pPr>
        <w:pStyle w:val="NormalWeb"/>
        <w:ind w:left="720"/>
      </w:pP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male</w:t>
      </w:r>
      <w:r>
        <w:rPr>
          <w:rStyle w:val="citation-362"/>
        </w:rPr>
        <w:t xml:space="preserve"> and </w:t>
      </w: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female</w:t>
      </w:r>
      <w:r>
        <w:rPr>
          <w:rStyle w:val="citation-362"/>
        </w:rPr>
        <w:t xml:space="preserve"> percentages (</w:t>
      </w:r>
      <w:r>
        <w:rPr>
          <w:rStyle w:val="citation-362"/>
          <w:b/>
          <w:bCs/>
        </w:rPr>
        <w:t>-1.00</w:t>
      </w:r>
      <w:r>
        <w:rPr>
          <w:rStyle w:val="citation-362"/>
        </w:rPr>
        <w:t xml:space="preserve">), and the strong negative correlations between </w:t>
      </w: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marginal</w:t>
      </w:r>
      <w:r>
        <w:rPr>
          <w:rStyle w:val="citation-362"/>
        </w:rPr>
        <w:t xml:space="preserve"> and </w:t>
      </w: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small</w:t>
      </w:r>
      <w:r>
        <w:rPr>
          <w:rStyle w:val="citation-362"/>
        </w:rPr>
        <w:t xml:space="preserve"> farmers (</w:t>
      </w:r>
      <w:r>
        <w:rPr>
          <w:rStyle w:val="citation-362"/>
          <w:b/>
          <w:bCs/>
        </w:rPr>
        <w:t>-0.51</w:t>
      </w:r>
      <w:r>
        <w:rPr>
          <w:rStyle w:val="citation-362"/>
        </w:rPr>
        <w:t xml:space="preserve">) and </w:t>
      </w: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obc</w:t>
      </w:r>
      <w:r>
        <w:rPr>
          <w:rStyle w:val="citation-362"/>
        </w:rPr>
        <w:t xml:space="preserve"> and </w:t>
      </w:r>
      <w:r>
        <w:rPr>
          <w:rStyle w:val="citation-362"/>
          <w:rFonts w:ascii="Courier New" w:hAnsi="Courier New" w:cs="Courier New"/>
          <w:b/>
          <w:bCs/>
          <w:sz w:val="20"/>
          <w:szCs w:val="20"/>
        </w:rPr>
        <w:t>gen</w:t>
      </w:r>
      <w:r>
        <w:rPr>
          <w:rStyle w:val="citation-362"/>
        </w:rPr>
        <w:t xml:space="preserve"> categories (</w:t>
      </w:r>
      <w:r>
        <w:rPr>
          <w:rStyle w:val="citation-362"/>
          <w:b/>
          <w:bCs/>
        </w:rPr>
        <w:t>-0.72</w:t>
      </w:r>
      <w:r>
        <w:rPr>
          <w:rStyle w:val="citation-362"/>
        </w:rPr>
        <w:t>)</w:t>
      </w:r>
      <w:r>
        <w:t>.</w:t>
      </w:r>
    </w:p>
    <w:p w14:paraId="463342A7" w14:textId="77777777" w:rsidR="009E2A31" w:rsidRDefault="009E2A31" w:rsidP="009E2A31">
      <w:pPr>
        <w:pStyle w:val="NormalWeb"/>
        <w:numPr>
          <w:ilvl w:val="0"/>
          <w:numId w:val="10"/>
        </w:numPr>
      </w:pPr>
      <w:r>
        <w:rPr>
          <w:rStyle w:val="citation-361"/>
          <w:b/>
          <w:bCs/>
        </w:rPr>
        <w:t>Insights from Insurance Unit (</w:t>
      </w:r>
      <w:r>
        <w:rPr>
          <w:rStyle w:val="citation-361"/>
          <w:rFonts w:ascii="Courier New" w:hAnsi="Courier New" w:cs="Courier New"/>
          <w:b/>
          <w:bCs/>
          <w:sz w:val="20"/>
          <w:szCs w:val="20"/>
        </w:rPr>
        <w:t>iu_count</w:t>
      </w:r>
      <w:r>
        <w:rPr>
          <w:rStyle w:val="citation-361"/>
          <w:b/>
          <w:bCs/>
        </w:rPr>
        <w:t>)</w:t>
      </w:r>
      <w:r>
        <w:rPr>
          <w:rStyle w:val="citation-361"/>
        </w:rPr>
        <w:t xml:space="preserve">: The </w:t>
      </w:r>
      <w:r>
        <w:rPr>
          <w:rStyle w:val="citation-361"/>
          <w:rFonts w:ascii="Courier New" w:hAnsi="Courier New" w:cs="Courier New"/>
          <w:sz w:val="20"/>
          <w:szCs w:val="20"/>
        </w:rPr>
        <w:t>iu_count</w:t>
      </w:r>
      <w:r>
        <w:rPr>
          <w:rStyle w:val="citation-361"/>
        </w:rPr>
        <w:t xml:space="preserve"> variable shows a notable positive correlation with the percentage of </w:t>
      </w:r>
      <w:r>
        <w:rPr>
          <w:rStyle w:val="citation-361"/>
          <w:rFonts w:ascii="Courier New" w:hAnsi="Courier New" w:cs="Courier New"/>
          <w:b/>
          <w:bCs/>
          <w:sz w:val="20"/>
          <w:szCs w:val="20"/>
        </w:rPr>
        <w:t>other</w:t>
      </w:r>
      <w:r>
        <w:rPr>
          <w:rStyle w:val="citation-361"/>
        </w:rPr>
        <w:t xml:space="preserve"> (larger) farmers (</w:t>
      </w:r>
      <w:r>
        <w:rPr>
          <w:rStyle w:val="citation-361"/>
          <w:b/>
          <w:bCs/>
        </w:rPr>
        <w:t>0.40</w:t>
      </w:r>
      <w:r>
        <w:rPr>
          <w:rStyle w:val="citation-361"/>
        </w:rPr>
        <w:t xml:space="preserve">) and a negative correlation with the percentage of </w:t>
      </w:r>
      <w:r>
        <w:rPr>
          <w:rStyle w:val="citation-361"/>
          <w:rFonts w:ascii="Courier New" w:hAnsi="Courier New" w:cs="Courier New"/>
          <w:b/>
          <w:bCs/>
          <w:sz w:val="20"/>
          <w:szCs w:val="20"/>
        </w:rPr>
        <w:t>female</w:t>
      </w:r>
      <w:r>
        <w:rPr>
          <w:rStyle w:val="citation-361"/>
        </w:rPr>
        <w:t xml:space="preserve"> farmers (</w:t>
      </w:r>
      <w:r>
        <w:rPr>
          <w:rStyle w:val="citation-361"/>
          <w:b/>
          <w:bCs/>
        </w:rPr>
        <w:t>-0.12</w:t>
      </w:r>
      <w:r>
        <w:rPr>
          <w:rStyle w:val="citation-361"/>
        </w:rPr>
        <w:t>)</w:t>
      </w:r>
      <w:r>
        <w:t>. This may suggest that the administrative setup (the number of insurance units) differs in regions dominated by larger farms versus those with higher female participation.</w:t>
      </w:r>
    </w:p>
    <w:p w14:paraId="3790E286" w14:textId="77777777" w:rsidR="009E2A31" w:rsidRDefault="009E2A31" w:rsidP="009E2A31">
      <w:pPr>
        <w:pStyle w:val="NormalWeb"/>
        <w:numPr>
          <w:ilvl w:val="0"/>
          <w:numId w:val="10"/>
        </w:numPr>
      </w:pPr>
      <w:r>
        <w:rPr>
          <w:rStyle w:val="citation-360"/>
          <w:b/>
          <w:bCs/>
        </w:rPr>
        <w:t>Weak Influence of Scheme and Season</w:t>
      </w:r>
      <w:r>
        <w:rPr>
          <w:rStyle w:val="citation-360"/>
        </w:rPr>
        <w:t xml:space="preserve">: The encoded categorical variables, </w:t>
      </w:r>
      <w:r>
        <w:rPr>
          <w:rStyle w:val="citation-360"/>
          <w:rFonts w:ascii="Courier New" w:hAnsi="Courier New" w:cs="Courier New"/>
          <w:b/>
          <w:bCs/>
          <w:sz w:val="20"/>
          <w:szCs w:val="20"/>
        </w:rPr>
        <w:t>scheme_encoded</w:t>
      </w:r>
      <w:r>
        <w:rPr>
          <w:rStyle w:val="citation-360"/>
        </w:rPr>
        <w:t xml:space="preserve"> and </w:t>
      </w:r>
      <w:r>
        <w:rPr>
          <w:rStyle w:val="citation-360"/>
          <w:rFonts w:ascii="Courier New" w:hAnsi="Courier New" w:cs="Courier New"/>
          <w:b/>
          <w:bCs/>
          <w:sz w:val="20"/>
          <w:szCs w:val="20"/>
        </w:rPr>
        <w:t>season_encoded</w:t>
      </w:r>
      <w:r>
        <w:rPr>
          <w:rStyle w:val="citation-360"/>
        </w:rPr>
        <w:t>, show very weak correlations with most of the financial and demographic metrics</w:t>
      </w:r>
      <w:r>
        <w:t>. This reinforces the earlier findings that the choice of scheme or season does not have a strong linear relationship with the overall scale or demographic profile of the insurance records.</w:t>
      </w:r>
    </w:p>
    <w:p w14:paraId="59B84F77" w14:textId="77777777" w:rsidR="009E2A31" w:rsidRDefault="009E2A31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756A0E3" w14:textId="7807AE58" w:rsidR="00841FBB" w:rsidRPr="00841FBB" w:rsidRDefault="009E2A31" w:rsidP="0084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</w:t>
      </w:r>
      <w:r w:rsidR="00841FBB" w:rsidRPr="00841FB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Principal Component Analysis (PCA)</w:t>
      </w:r>
    </w:p>
    <w:p w14:paraId="6166FE61" w14:textId="77777777" w:rsidR="00841FBB" w:rsidRPr="00841FBB" w:rsidRDefault="00841FBB" w:rsidP="00841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 (“Financial Scale”):</w:t>
      </w:r>
    </w:p>
    <w:p w14:paraId="4739A7E1" w14:textId="77777777" w:rsidR="00841FBB" w:rsidRPr="00841FBB" w:rsidRDefault="00841FBB" w:rsidP="00841F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Loadings: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gross_premium (0.41)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goi_share (0.40)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state_share (0.39)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sum_insured (0.39)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farmer_share (0.38)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total_policies (0.33)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area_insured (0.28)</w:t>
      </w:r>
    </w:p>
    <w:p w14:paraId="09EA3803" w14:textId="77777777" w:rsidR="00841FBB" w:rsidRPr="00841FBB" w:rsidRDefault="00841FBB" w:rsidP="00841F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Captures: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financial&amp;operational magnitude</w:t>
      </w:r>
    </w:p>
    <w:p w14:paraId="79737353" w14:textId="77777777" w:rsidR="00841FBB" w:rsidRPr="00841FBB" w:rsidRDefault="00841FBB" w:rsidP="00841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 (“Demographic Skew”):</w:t>
      </w:r>
    </w:p>
    <w:p w14:paraId="5D1C25BF" w14:textId="77777777" w:rsidR="00841FBB" w:rsidRPr="00841FBB" w:rsidRDefault="00841FBB" w:rsidP="00841F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Loadings: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female (+0.53)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male (−0.53)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other (−0.43)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1FBB">
        <w:rPr>
          <w:rFonts w:ascii="Courier New" w:eastAsia="Times New Roman" w:hAnsi="Courier New" w:cs="Courier New"/>
          <w:sz w:val="20"/>
          <w:szCs w:val="20"/>
          <w:lang w:eastAsia="en-IN"/>
        </w:rPr>
        <w:t>small (+0.39)</w:t>
      </w:r>
    </w:p>
    <w:p w14:paraId="1BE0EE20" w14:textId="77777777" w:rsidR="00841FBB" w:rsidRPr="00841FBB" w:rsidRDefault="00841FBB" w:rsidP="00841F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Captures: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inclusivity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higher PC2 → more female &amp; small farmer participation</w:t>
      </w:r>
    </w:p>
    <w:p w14:paraId="1F1BFE05" w14:textId="77777777" w:rsidR="00841FBB" w:rsidRPr="00841FBB" w:rsidRDefault="00841FBB" w:rsidP="0084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PCA Scatter Insights:</w:t>
      </w:r>
    </w:p>
    <w:p w14:paraId="0FECC8BB" w14:textId="77777777" w:rsidR="00841FBB" w:rsidRPr="00841FBB" w:rsidRDefault="00841FBB" w:rsidP="0084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Scheme Separation: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PMFBY on high PC1; WBCIS clusters at low PC1.</w:t>
      </w:r>
    </w:p>
    <w:p w14:paraId="09DD6948" w14:textId="77777777" w:rsidR="00841FBB" w:rsidRPr="00841FBB" w:rsidRDefault="00841FBB" w:rsidP="0084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 Neutrality: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Kharif/Rabi intermix along both PCs.</w:t>
      </w:r>
    </w:p>
    <w:p w14:paraId="0E1C9D3E" w14:textId="77777777" w:rsidR="00841FBB" w:rsidRPr="00841FBB" w:rsidRDefault="00841FBB" w:rsidP="00841F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Takeaway: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 vs Inclusivity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two orthogonal axes for strategic segmentation.</w:t>
      </w:r>
    </w:p>
    <w:p w14:paraId="7AC8FBD5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5E3ADD">
          <v:rect id="_x0000_i1034" style="width:0;height:1.5pt" o:hralign="center" o:hrstd="t" o:hr="t" fillcolor="#a0a0a0" stroked="f"/>
        </w:pict>
      </w:r>
    </w:p>
    <w:p w14:paraId="0B720FF2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841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of Plots &amp;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5514"/>
      </w:tblGrid>
      <w:tr w:rsidR="00841FBB" w:rsidRPr="00841FBB" w14:paraId="32ED159C" w14:textId="77777777" w:rsidTr="0084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6A3E" w14:textId="77777777" w:rsidR="00841FBB" w:rsidRPr="00841FBB" w:rsidRDefault="00841FBB" w:rsidP="0084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32A9043" w14:textId="77777777" w:rsidR="00841FBB" w:rsidRPr="00841FBB" w:rsidRDefault="00841FBB" w:rsidP="0084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Insight</w:t>
            </w:r>
          </w:p>
        </w:tc>
      </w:tr>
      <w:tr w:rsidR="00841FBB" w:rsidRPr="00841FBB" w14:paraId="0DDD5DC6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CF26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 Insured vs Premium by Scheme</w:t>
            </w:r>
          </w:p>
        </w:tc>
        <w:tc>
          <w:tcPr>
            <w:tcW w:w="0" w:type="auto"/>
            <w:vAlign w:val="center"/>
            <w:hideMark/>
          </w:tcPr>
          <w:p w14:paraId="05B1B79B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pricing; PMFBY spans entire value range</w:t>
            </w:r>
          </w:p>
        </w:tc>
      </w:tr>
      <w:tr w:rsidR="00841FBB" w:rsidRPr="00841FBB" w14:paraId="7A3641B8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2BB5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● Sum ● Premium (Pairplot)</w:t>
            </w:r>
          </w:p>
        </w:tc>
        <w:tc>
          <w:tcPr>
            <w:tcW w:w="0" w:type="auto"/>
            <w:vAlign w:val="center"/>
            <w:hideMark/>
          </w:tcPr>
          <w:p w14:paraId="779069C2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Tight financial clustering; area is weak predictor</w:t>
            </w:r>
          </w:p>
        </w:tc>
      </w:tr>
      <w:tr w:rsidR="00841FBB" w:rsidRPr="00841FBB" w14:paraId="7E30F1EF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1D05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Policies vs Area by Season</w:t>
            </w:r>
          </w:p>
        </w:tc>
        <w:tc>
          <w:tcPr>
            <w:tcW w:w="0" w:type="auto"/>
            <w:vAlign w:val="center"/>
            <w:hideMark/>
          </w:tcPr>
          <w:p w14:paraId="7D59EEF4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Overlap across seasons; “Vulnerable Farmer Paradox” confirmed</w:t>
            </w:r>
          </w:p>
        </w:tc>
      </w:tr>
      <w:tr w:rsidR="00841FBB" w:rsidRPr="00841FBB" w14:paraId="465A951E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6239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Subsidy Breakdown (Bar Chart)</w:t>
            </w:r>
          </w:p>
        </w:tc>
        <w:tc>
          <w:tcPr>
            <w:tcW w:w="0" w:type="auto"/>
            <w:vAlign w:val="center"/>
            <w:hideMark/>
          </w:tcPr>
          <w:p w14:paraId="40CAFD0C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PMFBY more farmer</w:t>
            </w: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friendly; WBCIS shifts more cost to farmers</w:t>
            </w:r>
          </w:p>
        </w:tc>
      </w:tr>
      <w:tr w:rsidR="00841FBB" w:rsidRPr="00841FBB" w14:paraId="65679F9D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7EFC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 vs Policy Count (Heatmap)</w:t>
            </w:r>
          </w:p>
        </w:tc>
        <w:tc>
          <w:tcPr>
            <w:tcW w:w="0" w:type="auto"/>
            <w:vAlign w:val="center"/>
            <w:hideMark/>
          </w:tcPr>
          <w:p w14:paraId="4C6F5047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dominated districts drive uptake</w:t>
            </w:r>
          </w:p>
        </w:tc>
      </w:tr>
      <w:tr w:rsidR="00841FBB" w:rsidRPr="00841FBB" w14:paraId="23EAC06E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327C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Farmer Type vs Area (Scatter)</w:t>
            </w:r>
          </w:p>
        </w:tc>
        <w:tc>
          <w:tcPr>
            <w:tcW w:w="0" w:type="auto"/>
            <w:vAlign w:val="center"/>
            <w:hideMark/>
          </w:tcPr>
          <w:p w14:paraId="1F94A0D5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clear link; fragmentation limits land coverage</w:t>
            </w:r>
          </w:p>
        </w:tc>
      </w:tr>
      <w:tr w:rsidR="00841FBB" w:rsidRPr="00841FBB" w14:paraId="46A1A249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0683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Scheme × Season (Grouped Bar)</w:t>
            </w:r>
          </w:p>
        </w:tc>
        <w:tc>
          <w:tcPr>
            <w:tcW w:w="0" w:type="auto"/>
            <w:vAlign w:val="center"/>
            <w:hideMark/>
          </w:tcPr>
          <w:p w14:paraId="1037C588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PMFBY dominates both seasons; Kharif is peak</w:t>
            </w:r>
          </w:p>
        </w:tc>
      </w:tr>
      <w:tr w:rsidR="00841FBB" w:rsidRPr="00841FBB" w14:paraId="33E4FF48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A6FB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Premiums by State &amp; Scheme (Heatmap)</w:t>
            </w:r>
          </w:p>
        </w:tc>
        <w:tc>
          <w:tcPr>
            <w:tcW w:w="0" w:type="auto"/>
            <w:vAlign w:val="center"/>
            <w:hideMark/>
          </w:tcPr>
          <w:p w14:paraId="22A1CA92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regional patterns; AP’s WBCIS anomaly</w:t>
            </w:r>
          </w:p>
        </w:tc>
      </w:tr>
      <w:tr w:rsidR="00841FBB" w:rsidRPr="00841FBB" w14:paraId="1AE9D40E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487E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 (Scatter)</w:t>
            </w:r>
          </w:p>
        </w:tc>
        <w:tc>
          <w:tcPr>
            <w:tcW w:w="0" w:type="auto"/>
            <w:vAlign w:val="center"/>
            <w:hideMark/>
          </w:tcPr>
          <w:p w14:paraId="0543F3BA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Two clear dimensions: </w:t>
            </w: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Scale</w:t>
            </w: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Inclusivity</w:t>
            </w:r>
          </w:p>
        </w:tc>
      </w:tr>
    </w:tbl>
    <w:p w14:paraId="1778DA61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04EEA0">
          <v:rect id="_x0000_i1035" style="width:0;height:1.5pt" o:hralign="center" o:hrstd="t" o:hr="t" fillcolor="#a0a0a0" stroked="f"/>
        </w:pict>
      </w:r>
    </w:p>
    <w:p w14:paraId="125E850C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841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Conclusions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341"/>
      </w:tblGrid>
      <w:tr w:rsidR="00841FBB" w:rsidRPr="00841FBB" w14:paraId="242EB99A" w14:textId="77777777" w:rsidTr="0084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2CD9D" w14:textId="77777777" w:rsidR="00841FBB" w:rsidRPr="00841FBB" w:rsidRDefault="00841FBB" w:rsidP="0084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536D8FB" w14:textId="77777777" w:rsidR="00841FBB" w:rsidRPr="00841FBB" w:rsidRDefault="00841FBB" w:rsidP="0084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41FBB" w:rsidRPr="00841FBB" w14:paraId="503B3625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0710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Financial Scale</w:t>
            </w:r>
          </w:p>
        </w:tc>
        <w:tc>
          <w:tcPr>
            <w:tcW w:w="0" w:type="auto"/>
            <w:vAlign w:val="center"/>
            <w:hideMark/>
          </w:tcPr>
          <w:p w14:paraId="3682BA8B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Driven by premiums, subsidies, and coverage — led by PMFBY.</w:t>
            </w:r>
          </w:p>
        </w:tc>
      </w:tr>
      <w:tr w:rsidR="00841FBB" w:rsidRPr="00841FBB" w14:paraId="7FF011B3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0682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Demographic Inclusivity</w:t>
            </w:r>
          </w:p>
        </w:tc>
        <w:tc>
          <w:tcPr>
            <w:tcW w:w="0" w:type="auto"/>
            <w:vAlign w:val="center"/>
            <w:hideMark/>
          </w:tcPr>
          <w:p w14:paraId="2B9B4D45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Defined by gender and farmer type — still lags behind.</w:t>
            </w:r>
          </w:p>
        </w:tc>
      </w:tr>
      <w:tr w:rsidR="00841FBB" w:rsidRPr="00841FBB" w14:paraId="378CFB82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04BA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Seasonal Impact</w:t>
            </w:r>
          </w:p>
        </w:tc>
        <w:tc>
          <w:tcPr>
            <w:tcW w:w="0" w:type="auto"/>
            <w:vAlign w:val="center"/>
            <w:hideMark/>
          </w:tcPr>
          <w:p w14:paraId="4196216C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— patterns consistent across Kharif and Rabi.</w:t>
            </w:r>
          </w:p>
        </w:tc>
      </w:tr>
      <w:tr w:rsidR="00841FBB" w:rsidRPr="00841FBB" w14:paraId="2D4E0562" w14:textId="77777777" w:rsidTr="0084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8ACF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Regional Influence</w:t>
            </w:r>
          </w:p>
        </w:tc>
        <w:tc>
          <w:tcPr>
            <w:tcW w:w="0" w:type="auto"/>
            <w:vAlign w:val="center"/>
            <w:hideMark/>
          </w:tcPr>
          <w:p w14:paraId="3B6F0635" w14:textId="77777777" w:rsidR="00841FBB" w:rsidRPr="00841FBB" w:rsidRDefault="00841FBB" w:rsidP="0084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1F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— schemes and premium values vary significantly by state.</w:t>
            </w:r>
          </w:p>
        </w:tc>
      </w:tr>
    </w:tbl>
    <w:p w14:paraId="25314A2F" w14:textId="77777777" w:rsidR="00841FBB" w:rsidRPr="00841FBB" w:rsidRDefault="009E2A31" w:rsidP="0084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34EC2">
          <v:rect id="_x0000_i1036" style="width:0;height:1.5pt" o:hralign="center" o:hrstd="t" o:hr="t" fillcolor="#a0a0a0" stroked="f"/>
        </w:pict>
      </w:r>
    </w:p>
    <w:p w14:paraId="6EF7AEC9" w14:textId="77777777" w:rsidR="00841FBB" w:rsidRPr="00841FBB" w:rsidRDefault="00841FBB" w:rsidP="0084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1FB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🧭</w:t>
      </w:r>
      <w:r w:rsidRPr="00841F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Policy Implications &amp; Next Steps</w:t>
      </w:r>
    </w:p>
    <w:p w14:paraId="2EF93A53" w14:textId="77777777" w:rsidR="00841FBB" w:rsidRPr="00841FBB" w:rsidRDefault="00841FBB" w:rsidP="0084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Targeting</w:t>
      </w:r>
    </w:p>
    <w:p w14:paraId="2A3F4BCF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prioritize regions:</w:t>
      </w:r>
    </w:p>
    <w:p w14:paraId="594C0CE1" w14:textId="77777777" w:rsidR="00841FBB" w:rsidRPr="00841FBB" w:rsidRDefault="00841FBB" w:rsidP="00841FB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PC1, low PC2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: Large-scale but low inclusivity → pilot inclusion programs.</w:t>
      </w:r>
    </w:p>
    <w:p w14:paraId="5596F4EB" w14:textId="77777777" w:rsidR="00841FBB" w:rsidRPr="00841FBB" w:rsidRDefault="00841FBB" w:rsidP="00841FB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PC1, high PC2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Small-scale but equitable → test scaling strategies.</w:t>
      </w:r>
    </w:p>
    <w:p w14:paraId="1B3ECBC4" w14:textId="77777777" w:rsidR="00841FBB" w:rsidRPr="00841FBB" w:rsidRDefault="00841FBB" w:rsidP="0084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Inclusivity Efforts</w:t>
      </w:r>
    </w:p>
    <w:p w14:paraId="531BE35C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Female Outreach: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districts with &gt; 90% male/ &lt; 10% female.</w:t>
      </w:r>
    </w:p>
    <w:p w14:paraId="6FEE335C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Farmer Support: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simplified products for highly fragmented areas.</w:t>
      </w:r>
    </w:p>
    <w:p w14:paraId="203542B1" w14:textId="77777777" w:rsidR="00841FBB" w:rsidRPr="00841FBB" w:rsidRDefault="00841FBB" w:rsidP="0084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Scheme Optimization</w:t>
      </w:r>
    </w:p>
    <w:p w14:paraId="364C33ED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WBCIS Rebalance: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farmer burden in AP; consider subsidy incentives.</w:t>
      </w:r>
    </w:p>
    <w:p w14:paraId="2470EAB5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PMFBY Expansion: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Leverage its broad appeal for under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served regions.</w:t>
      </w:r>
    </w:p>
    <w:p w14:paraId="1AE8F2E7" w14:textId="77777777" w:rsidR="00841FBB" w:rsidRPr="00841FBB" w:rsidRDefault="00841FBB" w:rsidP="0084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Customization</w:t>
      </w:r>
    </w:p>
    <w:p w14:paraId="75BB56E4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specific subsidy models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premium states (Rajasthan, Maharashtra).</w:t>
      </w:r>
    </w:p>
    <w:p w14:paraId="2F0153E7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</w:t>
      </w: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type risk assessments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AP’s WBCIS outlier zones.</w:t>
      </w:r>
    </w:p>
    <w:p w14:paraId="60FC8E1F" w14:textId="77777777" w:rsidR="00841FBB" w:rsidRPr="00841FBB" w:rsidRDefault="00841FBB" w:rsidP="0084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Roadmap Forward</w:t>
      </w:r>
    </w:p>
    <w:p w14:paraId="53E526DC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 2025: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Pilot female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focused enrollment in Haryana &amp; Rajasthan.</w:t>
      </w:r>
    </w:p>
    <w:p w14:paraId="19109978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 2025: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Launch AP WBCIS review committee to adjust subsidy formulas.</w:t>
      </w:r>
    </w:p>
    <w:p w14:paraId="2CDC5860" w14:textId="77777777" w:rsidR="00841FBB" w:rsidRPr="00841FBB" w:rsidRDefault="00841FBB" w:rsidP="00841F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1F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 2026:</w:t>
      </w:r>
      <w:r w:rsidRPr="00841F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PC1/PC2 segmentation dashboard for state agricultural departments.</w:t>
      </w:r>
    </w:p>
    <w:p w14:paraId="7D74357E" w14:textId="77777777" w:rsidR="001E0193" w:rsidRDefault="001E0193"/>
    <w:sectPr w:rsidR="001E0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77C38"/>
    <w:multiLevelType w:val="multilevel"/>
    <w:tmpl w:val="78C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5EC2"/>
    <w:multiLevelType w:val="multilevel"/>
    <w:tmpl w:val="E64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04605"/>
    <w:multiLevelType w:val="multilevel"/>
    <w:tmpl w:val="E68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632B"/>
    <w:multiLevelType w:val="multilevel"/>
    <w:tmpl w:val="7A7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5198C"/>
    <w:multiLevelType w:val="multilevel"/>
    <w:tmpl w:val="9A0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25D7"/>
    <w:multiLevelType w:val="multilevel"/>
    <w:tmpl w:val="B14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C36F3"/>
    <w:multiLevelType w:val="multilevel"/>
    <w:tmpl w:val="845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43430"/>
    <w:multiLevelType w:val="multilevel"/>
    <w:tmpl w:val="869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A53D1"/>
    <w:multiLevelType w:val="multilevel"/>
    <w:tmpl w:val="690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0379B"/>
    <w:multiLevelType w:val="multilevel"/>
    <w:tmpl w:val="D50C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B7"/>
    <w:rsid w:val="001E0193"/>
    <w:rsid w:val="003405B7"/>
    <w:rsid w:val="00841FBB"/>
    <w:rsid w:val="009E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A4D6"/>
  <w15:chartTrackingRefBased/>
  <w15:docId w15:val="{2922A8E2-EE2A-48C5-9E72-40B85D4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1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1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1F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1F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1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1F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FBB"/>
    <w:rPr>
      <w:rFonts w:ascii="Courier New" w:eastAsia="Times New Roman" w:hAnsi="Courier New" w:cs="Courier New"/>
      <w:sz w:val="20"/>
      <w:szCs w:val="20"/>
    </w:rPr>
  </w:style>
  <w:style w:type="character" w:customStyle="1" w:styleId="citation-363">
    <w:name w:val="citation-363"/>
    <w:basedOn w:val="DefaultParagraphFont"/>
    <w:rsid w:val="009E2A31"/>
  </w:style>
  <w:style w:type="character" w:customStyle="1" w:styleId="citation-362">
    <w:name w:val="citation-362"/>
    <w:basedOn w:val="DefaultParagraphFont"/>
    <w:rsid w:val="009E2A31"/>
  </w:style>
  <w:style w:type="character" w:customStyle="1" w:styleId="citation-361">
    <w:name w:val="citation-361"/>
    <w:basedOn w:val="DefaultParagraphFont"/>
    <w:rsid w:val="009E2A31"/>
  </w:style>
  <w:style w:type="character" w:customStyle="1" w:styleId="citation-360">
    <w:name w:val="citation-360"/>
    <w:basedOn w:val="DefaultParagraphFont"/>
    <w:rsid w:val="009E2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38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3</cp:revision>
  <dcterms:created xsi:type="dcterms:W3CDTF">2025-07-29T10:43:00Z</dcterms:created>
  <dcterms:modified xsi:type="dcterms:W3CDTF">2025-07-29T10:51:00Z</dcterms:modified>
</cp:coreProperties>
</file>