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C87CA1" w14:textId="77777777" w:rsidR="00DA6669" w:rsidRDefault="00DA6669" w:rsidP="00DA6669">
      <w:r>
        <w:t>The analysis of the relationship between area insured and sum insured reveals a moderately strong, positive linear correlation, which aligns with real-world expectations — larger land areas typically receive higher insurance coverage.</w:t>
      </w:r>
    </w:p>
    <w:p w14:paraId="0061EA9C" w14:textId="77777777" w:rsidR="00DA6669" w:rsidRDefault="00DA6669" w:rsidP="00DA6669"/>
    <w:p w14:paraId="4772060A" w14:textId="77777777" w:rsidR="00DA6669" w:rsidRDefault="00DA6669" w:rsidP="00DA6669">
      <w:r>
        <w:rPr>
          <w:rFonts w:ascii="Segoe UI Emoji" w:hAnsi="Segoe UI Emoji" w:cs="Segoe UI Emoji"/>
        </w:rPr>
        <w:t>🔑</w:t>
      </w:r>
      <w:r>
        <w:t xml:space="preserve"> Summary of Findings:</w:t>
      </w:r>
    </w:p>
    <w:p w14:paraId="7C5E7D48" w14:textId="77777777" w:rsidR="00DA6669" w:rsidRDefault="00DA6669" w:rsidP="00DA6669">
      <w:r>
        <w:t>Insight</w:t>
      </w:r>
      <w:r>
        <w:tab/>
        <w:t>Interpretation</w:t>
      </w:r>
    </w:p>
    <w:p w14:paraId="4FF91E9A" w14:textId="77777777" w:rsidR="00DA6669" w:rsidRDefault="00DA6669" w:rsidP="00DA6669">
      <w:r>
        <w:t xml:space="preserve">- </w:t>
      </w:r>
      <w:r>
        <w:rPr>
          <w:rFonts w:ascii="Segoe UI Emoji" w:hAnsi="Segoe UI Emoji" w:cs="Segoe UI Emoji"/>
        </w:rPr>
        <w:t>✅</w:t>
      </w:r>
      <w:r>
        <w:t xml:space="preserve"> Positive Linear Trend</w:t>
      </w:r>
      <w:r>
        <w:tab/>
        <w:t xml:space="preserve">As area insured increases, sum insured tends to increase </w:t>
      </w:r>
      <w:r>
        <w:rPr>
          <w:rFonts w:ascii="Calibri" w:hAnsi="Calibri" w:cs="Calibri"/>
        </w:rPr>
        <w:t>—</w:t>
      </w:r>
      <w:r>
        <w:t xml:space="preserve"> confirming intuitive, policy-driven </w:t>
      </w:r>
      <w:proofErr w:type="spellStart"/>
      <w:r>
        <w:t>behavior</w:t>
      </w:r>
      <w:proofErr w:type="spellEnd"/>
      <w:r>
        <w:t>.</w:t>
      </w:r>
    </w:p>
    <w:p w14:paraId="2317E612" w14:textId="77777777" w:rsidR="00DA6669" w:rsidRDefault="00DA6669" w:rsidP="00DA6669">
      <w:r>
        <w:t xml:space="preserve">- </w:t>
      </w:r>
      <w:r>
        <w:rPr>
          <w:rFonts w:ascii="Segoe UI Emoji" w:hAnsi="Segoe UI Emoji" w:cs="Segoe UI Emoji"/>
        </w:rPr>
        <w:t>📈</w:t>
      </w:r>
      <w:r>
        <w:t xml:space="preserve"> Pearson Correlation (r = 0.60)</w:t>
      </w:r>
      <w:r>
        <w:tab/>
        <w:t>Indicates a moderate to strong positive relationship. Statistically significant but leaves room for other influencing factors.</w:t>
      </w:r>
    </w:p>
    <w:p w14:paraId="66E1F822" w14:textId="77777777" w:rsidR="00DA6669" w:rsidRDefault="00DA6669" w:rsidP="00DA6669">
      <w:r>
        <w:t xml:space="preserve">- </w:t>
      </w:r>
      <w:r>
        <w:rPr>
          <w:rFonts w:ascii="Segoe UI Emoji" w:hAnsi="Segoe UI Emoji" w:cs="Segoe UI Emoji"/>
        </w:rPr>
        <w:t>🔴</w:t>
      </w:r>
      <w:r>
        <w:t xml:space="preserve"> Regression Line &amp; Confidence Interval</w:t>
      </w:r>
      <w:r>
        <w:tab/>
        <w:t>The trend line fits the data well. The 95% CI shows manageable variance across the dataset.</w:t>
      </w:r>
    </w:p>
    <w:p w14:paraId="05F92804" w14:textId="77777777" w:rsidR="00DA6669" w:rsidRDefault="00DA6669" w:rsidP="00DA6669">
      <w:r>
        <w:t xml:space="preserve">- </w:t>
      </w:r>
      <w:r>
        <w:rPr>
          <w:rFonts w:ascii="Segoe UI Emoji" w:hAnsi="Segoe UI Emoji" w:cs="Segoe UI Emoji"/>
        </w:rPr>
        <w:t>⚠</w:t>
      </w:r>
      <w:r>
        <w:t>️ Presence of Outliers</w:t>
      </w:r>
      <w:r>
        <w:tab/>
        <w:t>Some deviations hint at unique or anomalous policies (e.g., over-insurance or under-insurance). These may warrant further domain-specific investigation.</w:t>
      </w:r>
    </w:p>
    <w:p w14:paraId="08F89A0B" w14:textId="63EB5AD4" w:rsidR="009339BE" w:rsidRDefault="00DA6669" w:rsidP="00DA6669">
      <w:r>
        <w:t xml:space="preserve">- </w:t>
      </w:r>
      <w:r>
        <w:rPr>
          <w:rFonts w:ascii="Segoe UI Emoji" w:hAnsi="Segoe UI Emoji" w:cs="Segoe UI Emoji"/>
        </w:rPr>
        <w:t>💡</w:t>
      </w:r>
      <w:r>
        <w:t xml:space="preserve"> Policy Implication</w:t>
      </w:r>
      <w:r>
        <w:tab/>
        <w:t>The proportionality confirms data integrity and suggests the model could be used to detect underinsured or over-insured regions, aiding in decision-making and fraud detection.</w:t>
      </w:r>
    </w:p>
    <w:p w14:paraId="57086742" w14:textId="786E2C8F" w:rsidR="00DA6669" w:rsidRDefault="00DA6669" w:rsidP="00DA6669"/>
    <w:p w14:paraId="46911464" w14:textId="77777777" w:rsidR="00DA6669" w:rsidRPr="00DA6669" w:rsidRDefault="00DA6669" w:rsidP="00DA6669">
      <w:r w:rsidRPr="00DA6669">
        <w:rPr>
          <w:rFonts w:ascii="Segoe UI Emoji" w:hAnsi="Segoe UI Emoji" w:cs="Segoe UI Emoji"/>
        </w:rPr>
        <w:t>🔑</w:t>
      </w:r>
      <w:r w:rsidRPr="00DA6669">
        <w:t xml:space="preserve"> Summary of Findings:</w:t>
      </w:r>
    </w:p>
    <w:p w14:paraId="46C81A3E" w14:textId="77777777" w:rsidR="00DA6669" w:rsidRPr="00DA6669" w:rsidRDefault="00DA6669" w:rsidP="00DA6669">
      <w:r w:rsidRPr="00DA6669">
        <w:t>Insight Interpretation</w:t>
      </w:r>
    </w:p>
    <w:p w14:paraId="05A3952B" w14:textId="77777777" w:rsidR="00DA6669" w:rsidRPr="00DA6669" w:rsidRDefault="00DA6669" w:rsidP="00DA6669">
      <w:r w:rsidRPr="00DA6669">
        <w:t xml:space="preserve">- </w:t>
      </w:r>
      <w:r w:rsidRPr="00DA6669">
        <w:rPr>
          <w:rFonts w:ascii="Segoe UI Emoji" w:hAnsi="Segoe UI Emoji" w:cs="Segoe UI Emoji"/>
        </w:rPr>
        <w:t>🧮</w:t>
      </w:r>
      <w:r w:rsidRPr="00DA6669">
        <w:t xml:space="preserve"> Pearson Correlation (r = 0.72) Indicates a strong positive relationship, though not perfect. Most premiums increase with more policies, but regional and scheme-level factors introduce variation.</w:t>
      </w:r>
    </w:p>
    <w:p w14:paraId="6F9E4186" w14:textId="77777777" w:rsidR="00DA6669" w:rsidRPr="00DA6669" w:rsidRDefault="00DA6669" w:rsidP="00DA6669">
      <w:r w:rsidRPr="00DA6669">
        <w:t xml:space="preserve">- </w:t>
      </w:r>
      <w:r w:rsidRPr="00DA6669">
        <w:rPr>
          <w:rFonts w:ascii="Segoe UI Emoji" w:hAnsi="Segoe UI Emoji" w:cs="Segoe UI Emoji"/>
        </w:rPr>
        <w:t>📈</w:t>
      </w:r>
      <w:r w:rsidRPr="00DA6669">
        <w:t xml:space="preserve"> Regression Line Fit    The linear regression line aligns closely with the core data cluster, validating a general upward trend.</w:t>
      </w:r>
    </w:p>
    <w:p w14:paraId="2544A6A5" w14:textId="77777777" w:rsidR="00DA6669" w:rsidRPr="00DA6669" w:rsidRDefault="00DA6669" w:rsidP="00DA6669">
      <w:r w:rsidRPr="00DA6669">
        <w:t xml:space="preserve">- </w:t>
      </w:r>
      <w:r w:rsidRPr="00DA6669">
        <w:rPr>
          <w:rFonts w:ascii="Segoe UI Emoji" w:hAnsi="Segoe UI Emoji" w:cs="Segoe UI Emoji"/>
        </w:rPr>
        <w:t>🔍</w:t>
      </w:r>
      <w:r w:rsidRPr="00DA6669">
        <w:t xml:space="preserve"> Dense Lower Cluster    Majority of districts have &lt;100k policies and &lt;₹5,000 gross premiums, suggesting widespread but small-scale participation.</w:t>
      </w:r>
    </w:p>
    <w:p w14:paraId="55B9D03F" w14:textId="77777777" w:rsidR="00DA6669" w:rsidRPr="00DA6669" w:rsidRDefault="00DA6669" w:rsidP="00DA6669">
      <w:r w:rsidRPr="00DA6669">
        <w:t xml:space="preserve">- </w:t>
      </w:r>
      <w:r w:rsidRPr="00DA6669">
        <w:rPr>
          <w:rFonts w:ascii="Segoe UI Emoji" w:hAnsi="Segoe UI Emoji" w:cs="Segoe UI Emoji"/>
        </w:rPr>
        <w:t>🔄</w:t>
      </w:r>
      <w:r w:rsidRPr="00DA6669">
        <w:t xml:space="preserve"> High Variance at Scale Premiums become more spread out at higher policy counts — possibly due to variations in insured amount, scheme terms, or crop types.</w:t>
      </w:r>
    </w:p>
    <w:p w14:paraId="5476E597" w14:textId="77777777" w:rsidR="00DA6669" w:rsidRPr="00DA6669" w:rsidRDefault="00DA6669" w:rsidP="00DA6669">
      <w:r w:rsidRPr="00DA6669">
        <w:t xml:space="preserve">- </w:t>
      </w:r>
      <w:r w:rsidRPr="00DA6669">
        <w:rPr>
          <w:rFonts w:ascii="Segoe UI Emoji" w:hAnsi="Segoe UI Emoji" w:cs="Segoe UI Emoji"/>
        </w:rPr>
        <w:t>⚠</w:t>
      </w:r>
      <w:r w:rsidRPr="00DA6669">
        <w:t>️ Outliers Exist Some districts show unexpected combinations (e.g., high policies but low premiums), which may stem from data issues or special policy structures.</w:t>
      </w:r>
    </w:p>
    <w:p w14:paraId="7052B07D" w14:textId="77777777" w:rsidR="00DA6669" w:rsidRPr="00DA6669" w:rsidRDefault="00DA6669" w:rsidP="00DA6669"/>
    <w:p w14:paraId="2F49950F" w14:textId="77777777" w:rsidR="00DA6669" w:rsidRPr="00DA6669" w:rsidRDefault="00DA6669" w:rsidP="00DA6669">
      <w:r w:rsidRPr="00DA6669">
        <w:rPr>
          <w:rFonts w:ascii="Segoe UI Emoji" w:hAnsi="Segoe UI Emoji" w:cs="Segoe UI Emoji"/>
        </w:rPr>
        <w:t>💡</w:t>
      </w:r>
      <w:r w:rsidRPr="00DA6669">
        <w:t xml:space="preserve"> Strategic Insights:</w:t>
      </w:r>
    </w:p>
    <w:p w14:paraId="34E83EC9" w14:textId="77777777" w:rsidR="00DA6669" w:rsidRPr="00DA6669" w:rsidRDefault="00DA6669" w:rsidP="00DA6669">
      <w:r w:rsidRPr="00DA6669">
        <w:t>- Premiums generally scale with policy volume, but not at a fixed rate.</w:t>
      </w:r>
    </w:p>
    <w:p w14:paraId="4CBD72CB" w14:textId="77777777" w:rsidR="00DA6669" w:rsidRPr="00DA6669" w:rsidRDefault="00DA6669" w:rsidP="00DA6669">
      <w:r w:rsidRPr="00DA6669">
        <w:t>- Premium per policy varies across regions — a key indicator of cost-efficiency or subsidy levels.</w:t>
      </w:r>
    </w:p>
    <w:p w14:paraId="1AE9C46B" w14:textId="77777777" w:rsidR="00DA6669" w:rsidRPr="00DA6669" w:rsidRDefault="00DA6669" w:rsidP="00DA6669">
      <w:r w:rsidRPr="00DA6669">
        <w:t>- The spread suggests that sum insured per farmer, government contributions, and risk pricing likely differ by geography and crop.</w:t>
      </w:r>
    </w:p>
    <w:p w14:paraId="6EC6B407" w14:textId="77777777" w:rsidR="00DA6669" w:rsidRPr="00DA6669" w:rsidRDefault="00DA6669" w:rsidP="00DA6669">
      <w:r w:rsidRPr="00DA6669">
        <w:lastRenderedPageBreak/>
        <w:t>1. Sum Insured vs. Gross Premium</w:t>
      </w:r>
    </w:p>
    <w:p w14:paraId="57F573B4" w14:textId="77777777" w:rsidR="00DA6669" w:rsidRPr="00DA6669" w:rsidRDefault="00DA6669" w:rsidP="00DA6669">
      <w:r w:rsidRPr="00DA6669">
        <w:t>- Correlation Strength: Very strong (almost linear).</w:t>
      </w:r>
    </w:p>
    <w:p w14:paraId="7E64AC0F" w14:textId="77777777" w:rsidR="00DA6669" w:rsidRPr="00DA6669" w:rsidRDefault="00DA6669" w:rsidP="00DA6669">
      <w:r w:rsidRPr="00DA6669">
        <w:t>- Pearson r: ~0.95 (if calculated).</w:t>
      </w:r>
    </w:p>
    <w:p w14:paraId="7729BC53" w14:textId="77777777" w:rsidR="00DA6669" w:rsidRPr="00DA6669" w:rsidRDefault="00DA6669" w:rsidP="00DA6669"/>
    <w:p w14:paraId="172AA62E" w14:textId="77777777" w:rsidR="00DA6669" w:rsidRPr="00DA6669" w:rsidRDefault="00DA6669" w:rsidP="00DA6669">
      <w:r w:rsidRPr="00DA6669">
        <w:t>- Interpretation: Premiums are directly proportional to the sum insured, confirming a consistent pricing policy across the insurance schemes.</w:t>
      </w:r>
    </w:p>
    <w:p w14:paraId="5A35E716" w14:textId="77777777" w:rsidR="00DA6669" w:rsidRPr="00DA6669" w:rsidRDefault="00DA6669" w:rsidP="00DA6669"/>
    <w:p w14:paraId="60EF0F8E" w14:textId="77777777" w:rsidR="00DA6669" w:rsidRPr="00DA6669" w:rsidRDefault="00DA6669" w:rsidP="00DA6669">
      <w:r w:rsidRPr="00DA6669">
        <w:t>- Insight: The tight clustering around the regression line implies standardized premium calculation logic (e.g., % of sum insured), reflecting systemic pricing integrity.</w:t>
      </w:r>
    </w:p>
    <w:p w14:paraId="4E34AF40" w14:textId="77777777" w:rsidR="00DA6669" w:rsidRPr="00DA6669" w:rsidRDefault="00DA6669" w:rsidP="00DA6669"/>
    <w:p w14:paraId="5633FCF8" w14:textId="77777777" w:rsidR="00DA6669" w:rsidRPr="00DA6669" w:rsidRDefault="00DA6669" w:rsidP="00DA6669">
      <w:r w:rsidRPr="00DA6669">
        <w:t>2. Total Policies vs. Area Insured</w:t>
      </w:r>
    </w:p>
    <w:p w14:paraId="237CA451" w14:textId="77777777" w:rsidR="00DA6669" w:rsidRPr="00DA6669" w:rsidRDefault="00DA6669" w:rsidP="00DA6669">
      <w:r w:rsidRPr="00DA6669">
        <w:t>- Correlation Strength: Weak to moderate.</w:t>
      </w:r>
    </w:p>
    <w:p w14:paraId="7FB87251" w14:textId="77777777" w:rsidR="00DA6669" w:rsidRPr="00DA6669" w:rsidRDefault="00DA6669" w:rsidP="00DA6669"/>
    <w:p w14:paraId="620684C9" w14:textId="77777777" w:rsidR="00DA6669" w:rsidRPr="00DA6669" w:rsidRDefault="00DA6669" w:rsidP="00DA6669">
      <w:r w:rsidRPr="00DA6669">
        <w:t>- Pearson r: ~0.35–0.45 (visually estimated).</w:t>
      </w:r>
    </w:p>
    <w:p w14:paraId="2F20FA7F" w14:textId="77777777" w:rsidR="00DA6669" w:rsidRPr="00DA6669" w:rsidRDefault="00DA6669" w:rsidP="00DA6669"/>
    <w:p w14:paraId="1F36AE0F" w14:textId="77777777" w:rsidR="00DA6669" w:rsidRPr="00DA6669" w:rsidRDefault="00DA6669" w:rsidP="00DA6669">
      <w:r w:rsidRPr="00DA6669">
        <w:t>- Interpretation: While more policies imply more area insured, the relationship isn't proportionate.</w:t>
      </w:r>
    </w:p>
    <w:p w14:paraId="0FC039B6" w14:textId="77777777" w:rsidR="00DA6669" w:rsidRPr="00DA6669" w:rsidRDefault="00DA6669" w:rsidP="00DA6669"/>
    <w:p w14:paraId="5C72C0CD" w14:textId="77777777" w:rsidR="00DA6669" w:rsidRPr="00DA6669" w:rsidRDefault="00DA6669" w:rsidP="00DA6669">
      <w:r w:rsidRPr="00DA6669">
        <w:t>- Insight: Reinforces the “Vulnerable Farmer Paradox” — high policy count does not mean large land coverage. This indicates deep coverage among small/marginal farmers, which aligns with the scheme’s inclusive intent.</w:t>
      </w:r>
    </w:p>
    <w:p w14:paraId="35B06522" w14:textId="69A7CDA0" w:rsidR="00DA6669" w:rsidRDefault="00DA6669" w:rsidP="00DA6669"/>
    <w:p w14:paraId="6588737A" w14:textId="3EC2FA65" w:rsidR="00DA6669" w:rsidRDefault="00DA6669" w:rsidP="00DA6669"/>
    <w:p w14:paraId="1B440070" w14:textId="77777777" w:rsidR="00DA6669" w:rsidRPr="00DA6669" w:rsidRDefault="00DA6669" w:rsidP="00DA6669">
      <w:r w:rsidRPr="00DA6669">
        <w:t>Gross Premium vs. Area Insured</w:t>
      </w:r>
    </w:p>
    <w:p w14:paraId="1AD18B60" w14:textId="77777777" w:rsidR="00DA6669" w:rsidRPr="00DA6669" w:rsidRDefault="00DA6669" w:rsidP="00DA6669">
      <w:r w:rsidRPr="00DA6669">
        <w:t xml:space="preserve">This plot shows a </w:t>
      </w:r>
    </w:p>
    <w:p w14:paraId="73DCAEAC" w14:textId="77777777" w:rsidR="00DA6669" w:rsidRPr="00DA6669" w:rsidRDefault="00DA6669" w:rsidP="00DA6669">
      <w:r w:rsidRPr="00DA6669">
        <w:t>- moderate positive relationship between the area insured and the gross premium, with a Pearson correlation coefficient of r = 0.58.</w:t>
      </w:r>
    </w:p>
    <w:p w14:paraId="742603A7" w14:textId="77777777" w:rsidR="00DA6669" w:rsidRPr="00DA6669" w:rsidRDefault="00DA6669" w:rsidP="00DA6669">
      <w:r w:rsidRPr="00DA6669">
        <w:t>- Positive Trend: As the area insured increases, the total premium tends to increase as well.</w:t>
      </w:r>
    </w:p>
    <w:p w14:paraId="71671194" w14:textId="77777777" w:rsidR="00DA6669" w:rsidRPr="00DA6669" w:rsidRDefault="00DA6669" w:rsidP="00DA6669"/>
    <w:p w14:paraId="1A1A5AF8" w14:textId="77777777" w:rsidR="00DA6669" w:rsidRPr="00DA6669" w:rsidRDefault="00DA6669" w:rsidP="00DA6669">
      <w:r w:rsidRPr="00DA6669">
        <w:t>- High Variance: The data points are widely scattered, forming a fan shape. This indicates that while the area is a factor, it is not the only determinant of the premium. Other variables, most likely the value of the crop being insured, play a significant role. A small area with a high-value crop can have a larger premium than a large area with a low-value crop.</w:t>
      </w:r>
    </w:p>
    <w:p w14:paraId="0020ADD8" w14:textId="77777777" w:rsidR="00DA6669" w:rsidRPr="00DA6669" w:rsidRDefault="00DA6669" w:rsidP="00DA6669"/>
    <w:p w14:paraId="00B9F178" w14:textId="77777777" w:rsidR="00DA6669" w:rsidRPr="00DA6669" w:rsidRDefault="00DA6669" w:rsidP="00DA6669">
      <w:r w:rsidRPr="00DA6669">
        <w:t>Farmer Share vs. Gross Premium</w:t>
      </w:r>
    </w:p>
    <w:p w14:paraId="78712C55" w14:textId="77777777" w:rsidR="00DA6669" w:rsidRPr="00DA6669" w:rsidRDefault="00DA6669" w:rsidP="00DA6669">
      <w:r w:rsidRPr="00DA6669">
        <w:lastRenderedPageBreak/>
        <w:t>- This graph reveals a strong, positive, and linear relationship, confirmed by a high Pearson correlation coefficient of r = 0.85.</w:t>
      </w:r>
    </w:p>
    <w:p w14:paraId="28BEB9BF" w14:textId="77777777" w:rsidR="00DA6669" w:rsidRPr="00DA6669" w:rsidRDefault="00DA6669" w:rsidP="00DA6669"/>
    <w:p w14:paraId="37E88CCF" w14:textId="77777777" w:rsidR="00DA6669" w:rsidRPr="00DA6669" w:rsidRDefault="00DA6669" w:rsidP="00DA6669">
      <w:r w:rsidRPr="00DA6669">
        <w:t>- High Predictability: The farmer's share of the premium increases in a very predictable and consistent manner as the total gross premium rises. The data points are clustered tightly around the regression line.</w:t>
      </w:r>
    </w:p>
    <w:p w14:paraId="6F6EB26B" w14:textId="77777777" w:rsidR="00DA6669" w:rsidRPr="00DA6669" w:rsidRDefault="00DA6669" w:rsidP="00DA6669"/>
    <w:p w14:paraId="04BFAF2E" w14:textId="77777777" w:rsidR="00DA6669" w:rsidRPr="00DA6669" w:rsidRDefault="00DA6669" w:rsidP="00DA6669">
      <w:r w:rsidRPr="00DA6669">
        <w:t>- Standardized Structure: This strong linear relationship suggests that the formula for calculating the farmer's contribution is highly standardized across different regions and crops, with little variation in the percentage they are required to pay.</w:t>
      </w:r>
    </w:p>
    <w:p w14:paraId="590CBDD2" w14:textId="7FBA3145" w:rsidR="00DA6669" w:rsidRDefault="00DA6669" w:rsidP="00DA6669"/>
    <w:p w14:paraId="25010DF1" w14:textId="3480A35A" w:rsidR="00DA6669" w:rsidRDefault="00DA6669" w:rsidP="00DA6669"/>
    <w:p w14:paraId="523336D2" w14:textId="77777777" w:rsidR="00DA6669" w:rsidRPr="00DA6669" w:rsidRDefault="00DA6669" w:rsidP="00DA6669">
      <w:r w:rsidRPr="00DA6669">
        <w:t>Interpretation of Findings</w:t>
      </w:r>
    </w:p>
    <w:p w14:paraId="11CB0809" w14:textId="77777777" w:rsidR="00DA6669" w:rsidRPr="00DA6669" w:rsidRDefault="00DA6669" w:rsidP="00DA6669">
      <w:r w:rsidRPr="00DA6669">
        <w:t>Both plots confirm the earlier finding from the correlation matrix: there is no meaningful linear relationship between the demographic composition of a district and the total number of insurance policies.</w:t>
      </w:r>
    </w:p>
    <w:p w14:paraId="34FFEA68" w14:textId="77777777" w:rsidR="00DA6669" w:rsidRPr="00DA6669" w:rsidRDefault="00DA6669" w:rsidP="00DA6669"/>
    <w:p w14:paraId="58D066E8" w14:textId="77777777" w:rsidR="00DA6669" w:rsidRPr="00DA6669" w:rsidRDefault="00DA6669" w:rsidP="00DA6669">
      <w:r w:rsidRPr="00DA6669">
        <w:t>% Male vs Total Policies</w:t>
      </w:r>
    </w:p>
    <w:p w14:paraId="4E08A4ED" w14:textId="77777777" w:rsidR="00DA6669" w:rsidRPr="00DA6669" w:rsidRDefault="00DA6669" w:rsidP="00DA6669">
      <w:r w:rsidRPr="00DA6669">
        <w:t>- This scatter plot shows that the vast majority of data points are clustered in the 60% to 100% male range, but the total number of policies in these cases varies dramatically from near zero to over 2.5 million. The nearly horizontal regression line visually confirms a lack of correlation. This indicates that a high percentage of male farmers is not a predictor of high policy uptake.</w:t>
      </w:r>
    </w:p>
    <w:p w14:paraId="3CABFF59" w14:textId="77777777" w:rsidR="00DA6669" w:rsidRPr="00DA6669" w:rsidRDefault="00DA6669" w:rsidP="00DA6669"/>
    <w:p w14:paraId="2D6FDEB6" w14:textId="77777777" w:rsidR="00DA6669" w:rsidRPr="00DA6669" w:rsidRDefault="00DA6669" w:rsidP="00DA6669">
      <w:r w:rsidRPr="00DA6669">
        <w:t>% Small Farmers vs Total Policies</w:t>
      </w:r>
    </w:p>
    <w:p w14:paraId="37BFBCBE" w14:textId="77777777" w:rsidR="00DA6669" w:rsidRPr="00DA6669" w:rsidRDefault="00DA6669" w:rsidP="00DA6669">
      <w:r w:rsidRPr="00DA6669">
        <w:t>- Similarly, this plot shows no clear pattern. Districts with a very high percentage of small farmers (80-100%) can have either a very low or a very high number of total policies. The regression line is almost flat, indicating that the share of small farmers in a district does not drive the overall volume of scheme participation.</w:t>
      </w:r>
    </w:p>
    <w:p w14:paraId="51B88995" w14:textId="77777777" w:rsidR="00DA6669" w:rsidRPr="00DA6669" w:rsidRDefault="00DA6669" w:rsidP="00DA6669"/>
    <w:p w14:paraId="2F82FAB0" w14:textId="77777777" w:rsidR="00DA6669" w:rsidRPr="00DA6669" w:rsidRDefault="00DA6669" w:rsidP="00DA6669">
      <w:r w:rsidRPr="00DA6669">
        <w:t>Note on "Pearson r = nan": The "nan" (Not a Number) value for the correlation coefficient indicates a computational issue, likely due to missing values in the underlying data used for the calculation. However, the visual evidence from the nearly flat regression lines in both plots strongly supports the conclusion of a negligible linear relationship.</w:t>
      </w:r>
    </w:p>
    <w:p w14:paraId="46079481" w14:textId="03D650E1" w:rsidR="00DA6669" w:rsidRDefault="00DA6669" w:rsidP="00DA6669"/>
    <w:p w14:paraId="4FE96855" w14:textId="48545F3E" w:rsidR="00DA6669" w:rsidRDefault="00DA6669" w:rsidP="00DA6669"/>
    <w:p w14:paraId="7061C5BC" w14:textId="77777777" w:rsidR="00DA6669" w:rsidRPr="00DA6669" w:rsidRDefault="00DA6669" w:rsidP="00DA6669">
      <w:r w:rsidRPr="00DA6669">
        <w:t>Scheme Comparison: PMFBY vs. WBCIS</w:t>
      </w:r>
    </w:p>
    <w:p w14:paraId="71EBAB97" w14:textId="77777777" w:rsidR="00DA6669" w:rsidRPr="00DA6669" w:rsidRDefault="00DA6669" w:rsidP="00DA6669">
      <w:r w:rsidRPr="00DA6669">
        <w:lastRenderedPageBreak/>
        <w:t>The analysis shows that on a per-record basis (i.e., for a typical district-season entry), PMFBY operates at a significantly larger financial scale and volume than WBCIS.</w:t>
      </w:r>
    </w:p>
    <w:p w14:paraId="7922A814" w14:textId="77777777" w:rsidR="00DA6669" w:rsidRPr="00DA6669" w:rsidRDefault="00DA6669" w:rsidP="00DA6669"/>
    <w:p w14:paraId="4196FA95" w14:textId="77777777" w:rsidR="00DA6669" w:rsidRPr="00DA6669" w:rsidRDefault="00DA6669" w:rsidP="00DA6669">
      <w:r w:rsidRPr="00DA6669">
        <w:t xml:space="preserve">- Higher Value and Volume: The median Sum Insured, Total </w:t>
      </w:r>
      <w:proofErr w:type="gramStart"/>
      <w:r w:rsidRPr="00DA6669">
        <w:t>Policies ,</w:t>
      </w:r>
      <w:proofErr w:type="gramEnd"/>
      <w:r w:rsidRPr="00DA6669">
        <w:t xml:space="preserve"> and </w:t>
      </w:r>
    </w:p>
    <w:p w14:paraId="5817EE95" w14:textId="77777777" w:rsidR="00DA6669" w:rsidRPr="00DA6669" w:rsidRDefault="00DA6669" w:rsidP="00DA6669"/>
    <w:p w14:paraId="2928BCC5" w14:textId="77777777" w:rsidR="00DA6669" w:rsidRPr="00DA6669" w:rsidRDefault="00DA6669" w:rsidP="00DA6669">
      <w:r w:rsidRPr="00DA6669">
        <w:t xml:space="preserve">- Gross </w:t>
      </w:r>
      <w:proofErr w:type="gramStart"/>
      <w:r w:rsidRPr="00DA6669">
        <w:t>Premium  are</w:t>
      </w:r>
      <w:proofErr w:type="gramEnd"/>
      <w:r w:rsidRPr="00DA6669">
        <w:t xml:space="preserve"> all substantially higher for PMFBY compared to WBCIS. The entire distribution (the box) for PMFBY is shifted upwards in all three plots.</w:t>
      </w:r>
    </w:p>
    <w:p w14:paraId="1ADEA7F6" w14:textId="77777777" w:rsidR="00DA6669" w:rsidRPr="00DA6669" w:rsidRDefault="00DA6669" w:rsidP="00DA6669"/>
    <w:p w14:paraId="6ADE4C66" w14:textId="77777777" w:rsidR="00DA6669" w:rsidRPr="00DA6669" w:rsidRDefault="00DA6669" w:rsidP="00DA6669">
      <w:r w:rsidRPr="00DA6669">
        <w:t>- Outliers: Both schemes have a large number of high-value outliers, but they are more frequent and extend to higher values in the PMFBY scheme.</w:t>
      </w:r>
    </w:p>
    <w:p w14:paraId="6D25E28F" w14:textId="77777777" w:rsidR="00DA6669" w:rsidRPr="00DA6669" w:rsidRDefault="00DA6669" w:rsidP="00DA6669"/>
    <w:p w14:paraId="61716B61" w14:textId="77777777" w:rsidR="00DA6669" w:rsidRPr="00DA6669" w:rsidRDefault="00DA6669" w:rsidP="00DA6669">
      <w:r w:rsidRPr="00DA6669">
        <w:t>- Conclusion: The typical district-level implementation of PMFBY is larger in both scale and financial value than the typical implementation of WBCIS.</w:t>
      </w:r>
    </w:p>
    <w:p w14:paraId="57314393" w14:textId="77777777" w:rsidR="00DA6669" w:rsidRPr="00DA6669" w:rsidRDefault="00DA6669" w:rsidP="00DA6669"/>
    <w:p w14:paraId="17FA485B" w14:textId="77777777" w:rsidR="00DA6669" w:rsidRPr="00DA6669" w:rsidRDefault="00DA6669" w:rsidP="00DA6669">
      <w:r w:rsidRPr="00DA6669">
        <w:t>Seasonal Comparison: Kharif vs. Rabi</w:t>
      </w:r>
    </w:p>
    <w:p w14:paraId="77B67863" w14:textId="77777777" w:rsidR="00DA6669" w:rsidRPr="00DA6669" w:rsidRDefault="00DA6669" w:rsidP="00DA6669">
      <w:r w:rsidRPr="00DA6669">
        <w:t>The plots confirm that the Kharif season is the dominant period for agricultural insurance in India.</w:t>
      </w:r>
    </w:p>
    <w:p w14:paraId="2E356A0C" w14:textId="77777777" w:rsidR="00DA6669" w:rsidRPr="00DA6669" w:rsidRDefault="00DA6669" w:rsidP="00DA6669"/>
    <w:p w14:paraId="52322068" w14:textId="77777777" w:rsidR="00DA6669" w:rsidRPr="00DA6669" w:rsidRDefault="00DA6669" w:rsidP="00DA6669">
      <w:r w:rsidRPr="00DA6669">
        <w:t>- Higher Coverage: The median Sum Insured and median Area Insured are both visibly higher during the Kharif (monsoon) season compared to the Rabi (winter) season.</w:t>
      </w:r>
    </w:p>
    <w:p w14:paraId="68120BA6" w14:textId="77777777" w:rsidR="00DA6669" w:rsidRPr="00DA6669" w:rsidRDefault="00DA6669" w:rsidP="00DA6669"/>
    <w:p w14:paraId="1755BF4A" w14:textId="77777777" w:rsidR="00DA6669" w:rsidRPr="00DA6669" w:rsidRDefault="00DA6669" w:rsidP="00DA6669">
      <w:r w:rsidRPr="00DA6669">
        <w:t>- Greater Spread: The distribution of values (the interquartile range shown by the box) is also wider and shifted higher for the Kharif season, indicating that insurance activities are generally larger in scale during this period.</w:t>
      </w:r>
    </w:p>
    <w:p w14:paraId="4F984782" w14:textId="77777777" w:rsidR="00DA6669" w:rsidRPr="00DA6669" w:rsidRDefault="00DA6669" w:rsidP="00DA6669"/>
    <w:p w14:paraId="1FFC26F6" w14:textId="77777777" w:rsidR="00DA6669" w:rsidRPr="00DA6669" w:rsidRDefault="00DA6669" w:rsidP="00DA6669">
      <w:r w:rsidRPr="00DA6669">
        <w:t>- Conclusion: The Kharif season represents the peak of insurance activity, with more value and larger areas being insured on average than during the Rabi season.</w:t>
      </w:r>
    </w:p>
    <w:p w14:paraId="67D6A99C" w14:textId="6D520B3E" w:rsidR="00DA6669" w:rsidRDefault="00DA6669" w:rsidP="00DA6669"/>
    <w:p w14:paraId="7F864D18" w14:textId="5E48906C" w:rsidR="00DA6669" w:rsidRDefault="00DA6669" w:rsidP="00DA6669"/>
    <w:p w14:paraId="3C5D5D3A" w14:textId="77777777" w:rsidR="00DA6669" w:rsidRPr="00DA6669" w:rsidRDefault="00DA6669" w:rsidP="00DA6669">
      <w:r w:rsidRPr="00DA6669">
        <w:t>The plots show a general positive trend where states with higher average policies, area, or sum insured also have higher average premiums. However, the outliers from this trend are the most insightful, revealing different state strategies and risk profiles.</w:t>
      </w:r>
    </w:p>
    <w:p w14:paraId="64CE509C" w14:textId="77777777" w:rsidR="00DA6669" w:rsidRPr="00DA6669" w:rsidRDefault="00DA6669" w:rsidP="00DA6669"/>
    <w:p w14:paraId="59F76901" w14:textId="77777777" w:rsidR="00DA6669" w:rsidRPr="00DA6669" w:rsidRDefault="00DA6669" w:rsidP="00DA6669">
      <w:r w:rsidRPr="00DA6669">
        <w:t>Maharashtra: The High-Cost State</w:t>
      </w:r>
    </w:p>
    <w:p w14:paraId="038440A1" w14:textId="77777777" w:rsidR="00DA6669" w:rsidRPr="00DA6669" w:rsidRDefault="00DA6669" w:rsidP="00DA6669">
      <w:r w:rsidRPr="00DA6669">
        <w:t xml:space="preserve">- Across all three plots, Maharashtra (pink dot) is a consistent outlier, showing a very high average premium relative to its average number of policies, area insured, and sum insured. This suggests that </w:t>
      </w:r>
      <w:r w:rsidRPr="00DA6669">
        <w:lastRenderedPageBreak/>
        <w:t>insurance in Maharashtra is significantly more expensive on average, likely due to a focus on high-risk or high-value commercial crops that command higher premium rates.</w:t>
      </w:r>
    </w:p>
    <w:p w14:paraId="03B01E3C" w14:textId="77777777" w:rsidR="00DA6669" w:rsidRPr="00DA6669" w:rsidRDefault="00DA6669" w:rsidP="00DA6669"/>
    <w:p w14:paraId="16848AB0" w14:textId="77777777" w:rsidR="00DA6669" w:rsidRPr="00DA6669" w:rsidRDefault="00DA6669" w:rsidP="00DA6669">
      <w:r w:rsidRPr="00DA6669">
        <w:t>Rajasthan: The High-Volume State</w:t>
      </w:r>
    </w:p>
    <w:p w14:paraId="75C93FD3" w14:textId="77777777" w:rsidR="00DA6669" w:rsidRPr="00DA6669" w:rsidRDefault="00DA6669" w:rsidP="00DA6669">
      <w:r w:rsidRPr="00DA6669">
        <w:t>- Rajasthan (cyan dot) is the clear leader in scale, exhibiting the highest average number of policies by a large margin. While its average premium is also high, it is proportionally lower than Maharashtra's when compared to its very high average sum insured, indicating a lower average premium rate.</w:t>
      </w:r>
    </w:p>
    <w:p w14:paraId="44A28334" w14:textId="77777777" w:rsidR="00DA6669" w:rsidRPr="00DA6669" w:rsidRDefault="00DA6669" w:rsidP="00DA6669"/>
    <w:p w14:paraId="29903DFB" w14:textId="77777777" w:rsidR="00DA6669" w:rsidRPr="00DA6669" w:rsidRDefault="00DA6669" w:rsidP="00DA6669">
      <w:r w:rsidRPr="00DA6669">
        <w:t>Himachal Pradesh: The Large-Area, Low-Cost State</w:t>
      </w:r>
    </w:p>
    <w:p w14:paraId="1DA682BA" w14:textId="77777777" w:rsidR="00DA6669" w:rsidRPr="00DA6669" w:rsidRDefault="00DA6669" w:rsidP="00DA6669">
      <w:r w:rsidRPr="00DA6669">
        <w:t>- Himachal Pradesh (red dot) presents a unique profile, with by far the largest average area insured per record but a very low average premium. This suggests a focus on insuring large tracts of land with lower-value or lower-risk crops.</w:t>
      </w:r>
    </w:p>
    <w:p w14:paraId="17F1EA6C" w14:textId="77777777" w:rsidR="00DA6669" w:rsidRPr="00DA6669" w:rsidRDefault="00DA6669" w:rsidP="00DA6669"/>
    <w:p w14:paraId="36BAE456" w14:textId="77777777" w:rsidR="00DA6669" w:rsidRPr="00DA6669" w:rsidRDefault="00DA6669" w:rsidP="00DA6669">
      <w:r w:rsidRPr="00DA6669">
        <w:t>Andaman &amp; Nicobar Islands: The High-Premium, Low-Scale State</w:t>
      </w:r>
    </w:p>
    <w:p w14:paraId="3AD68C70" w14:textId="77777777" w:rsidR="00DA6669" w:rsidRPr="00DA6669" w:rsidRDefault="00DA6669" w:rsidP="00DA6669">
      <w:r w:rsidRPr="00DA6669">
        <w:t>- Andaman &amp; Nicobar Islands (dark blue dot) has a disproportionately high average premium despite having a very low average number of policies and a small average insured area. This could indicate specialized, high-risk coverage in a very small market.</w:t>
      </w:r>
    </w:p>
    <w:p w14:paraId="53D66C51" w14:textId="77777777" w:rsidR="00DA6669" w:rsidRPr="00DA6669" w:rsidRDefault="00DA6669" w:rsidP="00DA6669"/>
    <w:p w14:paraId="64065224" w14:textId="77777777" w:rsidR="00DA6669" w:rsidRPr="00DA6669" w:rsidRDefault="00DA6669" w:rsidP="00DA6669">
      <w:r w:rsidRPr="00DA6669">
        <w:t>Most other states are clustered in the bottom-left corner of the plots, indicating lower average premiums, policy counts, and insured values on a per-record basis.</w:t>
      </w:r>
    </w:p>
    <w:p w14:paraId="20D95F12" w14:textId="27A7C55C" w:rsidR="00DA6669" w:rsidRDefault="00DA6669" w:rsidP="00DA6669"/>
    <w:p w14:paraId="6A4B2A98" w14:textId="60ADF0B1" w:rsidR="00DA6669" w:rsidRDefault="00DA6669" w:rsidP="00DA6669"/>
    <w:p w14:paraId="66C0D470" w14:textId="77777777" w:rsidR="00DA6669" w:rsidRPr="00DA6669" w:rsidRDefault="00DA6669" w:rsidP="00DA6669">
      <w:r w:rsidRPr="00DA6669">
        <w:t>Gender Composition vs. Sum Insured</w:t>
      </w:r>
    </w:p>
    <w:p w14:paraId="0EA2BEE2" w14:textId="77777777" w:rsidR="00DA6669" w:rsidRPr="00DA6669" w:rsidRDefault="00DA6669" w:rsidP="00DA6669">
      <w:r w:rsidRPr="00DA6669">
        <w:t>The scatter plots for both male and female farmers confirm that there is no meaningful linear relationship between the gender composition of farmers and the total sum insured for a given district-season.</w:t>
      </w:r>
    </w:p>
    <w:p w14:paraId="148190B0" w14:textId="77777777" w:rsidR="00DA6669" w:rsidRPr="00DA6669" w:rsidRDefault="00DA6669" w:rsidP="00DA6669"/>
    <w:p w14:paraId="49986656" w14:textId="77777777" w:rsidR="00DA6669" w:rsidRPr="00DA6669" w:rsidRDefault="00DA6669" w:rsidP="00DA6669">
      <w:r w:rsidRPr="00DA6669">
        <w:t>- In both the "Percentage of Female Farmers vs Sum Insured" and "Percentage of Male Farmers vs Sum Insured" plots, the data points form a large, unstructured cloud.</w:t>
      </w:r>
    </w:p>
    <w:p w14:paraId="769AC622" w14:textId="77777777" w:rsidR="00DA6669" w:rsidRPr="00DA6669" w:rsidRDefault="00DA6669" w:rsidP="00DA6669"/>
    <w:p w14:paraId="2AAFFED6" w14:textId="77777777" w:rsidR="00DA6669" w:rsidRPr="00DA6669" w:rsidRDefault="00DA6669" w:rsidP="00DA6669">
      <w:r w:rsidRPr="00DA6669">
        <w:t>- The regression lines in both graphs are nearly horizontal, indicating a negligible correlation.</w:t>
      </w:r>
    </w:p>
    <w:p w14:paraId="3CD03494" w14:textId="77777777" w:rsidR="00DA6669" w:rsidRPr="00DA6669" w:rsidRDefault="00DA6669" w:rsidP="00DA6669"/>
    <w:p w14:paraId="1A7DEDA1" w14:textId="77777777" w:rsidR="00DA6669" w:rsidRPr="00DA6669" w:rsidRDefault="00DA6669" w:rsidP="00DA6669">
      <w:r w:rsidRPr="00DA6669">
        <w:t>This reinforces the earlier finding that the demographic profile of a district does not appear to drive the financial scale of the insurance schemes.</w:t>
      </w:r>
    </w:p>
    <w:p w14:paraId="6C12077C" w14:textId="77777777" w:rsidR="00DA6669" w:rsidRPr="00DA6669" w:rsidRDefault="00DA6669" w:rsidP="00DA6669"/>
    <w:p w14:paraId="0AB623A0" w14:textId="77777777" w:rsidR="00DA6669" w:rsidRPr="00DA6669" w:rsidRDefault="00DA6669" w:rsidP="00DA6669">
      <w:r w:rsidRPr="00DA6669">
        <w:lastRenderedPageBreak/>
        <w:t>Scheme Participation by Season</w:t>
      </w:r>
    </w:p>
    <w:p w14:paraId="0881631B" w14:textId="77777777" w:rsidR="00DA6669" w:rsidRPr="00DA6669" w:rsidRDefault="00DA6669" w:rsidP="00DA6669">
      <w:r w:rsidRPr="00DA6669">
        <w:t>This analysis reveals the dominance of the PMFBY scheme and a subtle difference in the proportional use of the WBCIS scheme across seasons.</w:t>
      </w:r>
    </w:p>
    <w:p w14:paraId="66C3BC34" w14:textId="77777777" w:rsidR="00DA6669" w:rsidRPr="00DA6669" w:rsidRDefault="00DA6669" w:rsidP="00DA6669"/>
    <w:p w14:paraId="7E17F5F9" w14:textId="77777777" w:rsidR="00DA6669" w:rsidRPr="00DA6669" w:rsidRDefault="00DA6669" w:rsidP="00DA6669">
      <w:r w:rsidRPr="00DA6669">
        <w:t>- Overall Dominance: The count-based bar chart clearly shows that the PMFBY scheme has a far greater number of records than the WBCIS scheme in both the Kharif and Rabi seasons.</w:t>
      </w:r>
    </w:p>
    <w:p w14:paraId="78443E8D" w14:textId="77777777" w:rsidR="00DA6669" w:rsidRPr="00DA6669" w:rsidRDefault="00DA6669" w:rsidP="00DA6669"/>
    <w:p w14:paraId="6D20930B" w14:textId="77777777" w:rsidR="00DA6669" w:rsidRPr="00DA6669" w:rsidRDefault="00DA6669" w:rsidP="00DA6669">
      <w:r w:rsidRPr="00DA6669">
        <w:t>- Proportional Difference: The proportional view shows that while PMFBY is dominant in both seasons, the WBCIS scheme constitutes a slightly larger proportion of the total records during the Rabi season (around 28%) compared to the Kharif season (around 25%).</w:t>
      </w:r>
    </w:p>
    <w:p w14:paraId="0BF7B096" w14:textId="506A95FA" w:rsidR="00DA6669" w:rsidRDefault="00DA6669" w:rsidP="00DA6669"/>
    <w:p w14:paraId="2408818C" w14:textId="755E96A5" w:rsidR="00DA6669" w:rsidRDefault="00DA6669" w:rsidP="00DA6669"/>
    <w:p w14:paraId="48C64063" w14:textId="77777777" w:rsidR="00DA6669" w:rsidRPr="00DA6669" w:rsidRDefault="00DA6669" w:rsidP="00DA6669">
      <w:bookmarkStart w:id="0" w:name="_GoBack"/>
      <w:bookmarkEnd w:id="0"/>
    </w:p>
    <w:sectPr w:rsidR="00DA6669" w:rsidRPr="00DA6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DC1F2C"/>
    <w:multiLevelType w:val="multilevel"/>
    <w:tmpl w:val="114A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E530B"/>
    <w:multiLevelType w:val="multilevel"/>
    <w:tmpl w:val="45CAA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C36184"/>
    <w:multiLevelType w:val="multilevel"/>
    <w:tmpl w:val="B486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C1"/>
    <w:rsid w:val="000D1C2E"/>
    <w:rsid w:val="00390CC1"/>
    <w:rsid w:val="009339BE"/>
    <w:rsid w:val="00DA6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E14B"/>
  <w15:chartTrackingRefBased/>
  <w15:docId w15:val="{CF4177A3-4D7C-4F46-87A4-A232DAB44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1C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1C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1C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1C2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D1C2E"/>
    <w:rPr>
      <w:b/>
      <w:bCs/>
    </w:rPr>
  </w:style>
  <w:style w:type="paragraph" w:styleId="NormalWeb">
    <w:name w:val="Normal (Web)"/>
    <w:basedOn w:val="Normal"/>
    <w:uiPriority w:val="99"/>
    <w:semiHidden/>
    <w:unhideWhenUsed/>
    <w:rsid w:val="000D1C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D1C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026082">
      <w:bodyDiv w:val="1"/>
      <w:marLeft w:val="0"/>
      <w:marRight w:val="0"/>
      <w:marTop w:val="0"/>
      <w:marBottom w:val="0"/>
      <w:divBdr>
        <w:top w:val="none" w:sz="0" w:space="0" w:color="auto"/>
        <w:left w:val="none" w:sz="0" w:space="0" w:color="auto"/>
        <w:bottom w:val="none" w:sz="0" w:space="0" w:color="auto"/>
        <w:right w:val="none" w:sz="0" w:space="0" w:color="auto"/>
      </w:divBdr>
      <w:divsChild>
        <w:div w:id="2022773982">
          <w:marLeft w:val="0"/>
          <w:marRight w:val="0"/>
          <w:marTop w:val="0"/>
          <w:marBottom w:val="0"/>
          <w:divBdr>
            <w:top w:val="none" w:sz="0" w:space="0" w:color="auto"/>
            <w:left w:val="none" w:sz="0" w:space="0" w:color="auto"/>
            <w:bottom w:val="none" w:sz="0" w:space="0" w:color="auto"/>
            <w:right w:val="none" w:sz="0" w:space="0" w:color="auto"/>
          </w:divBdr>
          <w:divsChild>
            <w:div w:id="1407726225">
              <w:marLeft w:val="0"/>
              <w:marRight w:val="0"/>
              <w:marTop w:val="0"/>
              <w:marBottom w:val="0"/>
              <w:divBdr>
                <w:top w:val="none" w:sz="0" w:space="0" w:color="auto"/>
                <w:left w:val="none" w:sz="0" w:space="0" w:color="auto"/>
                <w:bottom w:val="none" w:sz="0" w:space="0" w:color="auto"/>
                <w:right w:val="none" w:sz="0" w:space="0" w:color="auto"/>
              </w:divBdr>
            </w:div>
            <w:div w:id="54016331">
              <w:marLeft w:val="0"/>
              <w:marRight w:val="0"/>
              <w:marTop w:val="0"/>
              <w:marBottom w:val="0"/>
              <w:divBdr>
                <w:top w:val="none" w:sz="0" w:space="0" w:color="auto"/>
                <w:left w:val="none" w:sz="0" w:space="0" w:color="auto"/>
                <w:bottom w:val="none" w:sz="0" w:space="0" w:color="auto"/>
                <w:right w:val="none" w:sz="0" w:space="0" w:color="auto"/>
              </w:divBdr>
            </w:div>
            <w:div w:id="64108701">
              <w:marLeft w:val="0"/>
              <w:marRight w:val="0"/>
              <w:marTop w:val="0"/>
              <w:marBottom w:val="0"/>
              <w:divBdr>
                <w:top w:val="none" w:sz="0" w:space="0" w:color="auto"/>
                <w:left w:val="none" w:sz="0" w:space="0" w:color="auto"/>
                <w:bottom w:val="none" w:sz="0" w:space="0" w:color="auto"/>
                <w:right w:val="none" w:sz="0" w:space="0" w:color="auto"/>
              </w:divBdr>
            </w:div>
            <w:div w:id="1935674613">
              <w:marLeft w:val="0"/>
              <w:marRight w:val="0"/>
              <w:marTop w:val="0"/>
              <w:marBottom w:val="0"/>
              <w:divBdr>
                <w:top w:val="none" w:sz="0" w:space="0" w:color="auto"/>
                <w:left w:val="none" w:sz="0" w:space="0" w:color="auto"/>
                <w:bottom w:val="none" w:sz="0" w:space="0" w:color="auto"/>
                <w:right w:val="none" w:sz="0" w:space="0" w:color="auto"/>
              </w:divBdr>
            </w:div>
            <w:div w:id="777215455">
              <w:marLeft w:val="0"/>
              <w:marRight w:val="0"/>
              <w:marTop w:val="0"/>
              <w:marBottom w:val="0"/>
              <w:divBdr>
                <w:top w:val="none" w:sz="0" w:space="0" w:color="auto"/>
                <w:left w:val="none" w:sz="0" w:space="0" w:color="auto"/>
                <w:bottom w:val="none" w:sz="0" w:space="0" w:color="auto"/>
                <w:right w:val="none" w:sz="0" w:space="0" w:color="auto"/>
              </w:divBdr>
            </w:div>
            <w:div w:id="1474054968">
              <w:marLeft w:val="0"/>
              <w:marRight w:val="0"/>
              <w:marTop w:val="0"/>
              <w:marBottom w:val="0"/>
              <w:divBdr>
                <w:top w:val="none" w:sz="0" w:space="0" w:color="auto"/>
                <w:left w:val="none" w:sz="0" w:space="0" w:color="auto"/>
                <w:bottom w:val="none" w:sz="0" w:space="0" w:color="auto"/>
                <w:right w:val="none" w:sz="0" w:space="0" w:color="auto"/>
              </w:divBdr>
            </w:div>
            <w:div w:id="1114715432">
              <w:marLeft w:val="0"/>
              <w:marRight w:val="0"/>
              <w:marTop w:val="0"/>
              <w:marBottom w:val="0"/>
              <w:divBdr>
                <w:top w:val="none" w:sz="0" w:space="0" w:color="auto"/>
                <w:left w:val="none" w:sz="0" w:space="0" w:color="auto"/>
                <w:bottom w:val="none" w:sz="0" w:space="0" w:color="auto"/>
                <w:right w:val="none" w:sz="0" w:space="0" w:color="auto"/>
              </w:divBdr>
            </w:div>
            <w:div w:id="1374693523">
              <w:marLeft w:val="0"/>
              <w:marRight w:val="0"/>
              <w:marTop w:val="0"/>
              <w:marBottom w:val="0"/>
              <w:divBdr>
                <w:top w:val="none" w:sz="0" w:space="0" w:color="auto"/>
                <w:left w:val="none" w:sz="0" w:space="0" w:color="auto"/>
                <w:bottom w:val="none" w:sz="0" w:space="0" w:color="auto"/>
                <w:right w:val="none" w:sz="0" w:space="0" w:color="auto"/>
              </w:divBdr>
            </w:div>
            <w:div w:id="474642070">
              <w:marLeft w:val="0"/>
              <w:marRight w:val="0"/>
              <w:marTop w:val="0"/>
              <w:marBottom w:val="0"/>
              <w:divBdr>
                <w:top w:val="none" w:sz="0" w:space="0" w:color="auto"/>
                <w:left w:val="none" w:sz="0" w:space="0" w:color="auto"/>
                <w:bottom w:val="none" w:sz="0" w:space="0" w:color="auto"/>
                <w:right w:val="none" w:sz="0" w:space="0" w:color="auto"/>
              </w:divBdr>
            </w:div>
            <w:div w:id="19144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35766">
      <w:bodyDiv w:val="1"/>
      <w:marLeft w:val="0"/>
      <w:marRight w:val="0"/>
      <w:marTop w:val="0"/>
      <w:marBottom w:val="0"/>
      <w:divBdr>
        <w:top w:val="none" w:sz="0" w:space="0" w:color="auto"/>
        <w:left w:val="none" w:sz="0" w:space="0" w:color="auto"/>
        <w:bottom w:val="none" w:sz="0" w:space="0" w:color="auto"/>
        <w:right w:val="none" w:sz="0" w:space="0" w:color="auto"/>
      </w:divBdr>
      <w:divsChild>
        <w:div w:id="607549212">
          <w:marLeft w:val="0"/>
          <w:marRight w:val="0"/>
          <w:marTop w:val="0"/>
          <w:marBottom w:val="0"/>
          <w:divBdr>
            <w:top w:val="none" w:sz="0" w:space="0" w:color="auto"/>
            <w:left w:val="none" w:sz="0" w:space="0" w:color="auto"/>
            <w:bottom w:val="none" w:sz="0" w:space="0" w:color="auto"/>
            <w:right w:val="none" w:sz="0" w:space="0" w:color="auto"/>
          </w:divBdr>
          <w:divsChild>
            <w:div w:id="207498492">
              <w:marLeft w:val="0"/>
              <w:marRight w:val="0"/>
              <w:marTop w:val="0"/>
              <w:marBottom w:val="0"/>
              <w:divBdr>
                <w:top w:val="none" w:sz="0" w:space="0" w:color="auto"/>
                <w:left w:val="none" w:sz="0" w:space="0" w:color="auto"/>
                <w:bottom w:val="none" w:sz="0" w:space="0" w:color="auto"/>
                <w:right w:val="none" w:sz="0" w:space="0" w:color="auto"/>
              </w:divBdr>
            </w:div>
            <w:div w:id="1356152042">
              <w:marLeft w:val="0"/>
              <w:marRight w:val="0"/>
              <w:marTop w:val="0"/>
              <w:marBottom w:val="0"/>
              <w:divBdr>
                <w:top w:val="none" w:sz="0" w:space="0" w:color="auto"/>
                <w:left w:val="none" w:sz="0" w:space="0" w:color="auto"/>
                <w:bottom w:val="none" w:sz="0" w:space="0" w:color="auto"/>
                <w:right w:val="none" w:sz="0" w:space="0" w:color="auto"/>
              </w:divBdr>
            </w:div>
            <w:div w:id="104662016">
              <w:marLeft w:val="0"/>
              <w:marRight w:val="0"/>
              <w:marTop w:val="0"/>
              <w:marBottom w:val="0"/>
              <w:divBdr>
                <w:top w:val="none" w:sz="0" w:space="0" w:color="auto"/>
                <w:left w:val="none" w:sz="0" w:space="0" w:color="auto"/>
                <w:bottom w:val="none" w:sz="0" w:space="0" w:color="auto"/>
                <w:right w:val="none" w:sz="0" w:space="0" w:color="auto"/>
              </w:divBdr>
            </w:div>
            <w:div w:id="2061787705">
              <w:marLeft w:val="0"/>
              <w:marRight w:val="0"/>
              <w:marTop w:val="0"/>
              <w:marBottom w:val="0"/>
              <w:divBdr>
                <w:top w:val="none" w:sz="0" w:space="0" w:color="auto"/>
                <w:left w:val="none" w:sz="0" w:space="0" w:color="auto"/>
                <w:bottom w:val="none" w:sz="0" w:space="0" w:color="auto"/>
                <w:right w:val="none" w:sz="0" w:space="0" w:color="auto"/>
              </w:divBdr>
            </w:div>
            <w:div w:id="1153254180">
              <w:marLeft w:val="0"/>
              <w:marRight w:val="0"/>
              <w:marTop w:val="0"/>
              <w:marBottom w:val="0"/>
              <w:divBdr>
                <w:top w:val="none" w:sz="0" w:space="0" w:color="auto"/>
                <w:left w:val="none" w:sz="0" w:space="0" w:color="auto"/>
                <w:bottom w:val="none" w:sz="0" w:space="0" w:color="auto"/>
                <w:right w:val="none" w:sz="0" w:space="0" w:color="auto"/>
              </w:divBdr>
            </w:div>
            <w:div w:id="1439132255">
              <w:marLeft w:val="0"/>
              <w:marRight w:val="0"/>
              <w:marTop w:val="0"/>
              <w:marBottom w:val="0"/>
              <w:divBdr>
                <w:top w:val="none" w:sz="0" w:space="0" w:color="auto"/>
                <w:left w:val="none" w:sz="0" w:space="0" w:color="auto"/>
                <w:bottom w:val="none" w:sz="0" w:space="0" w:color="auto"/>
                <w:right w:val="none" w:sz="0" w:space="0" w:color="auto"/>
              </w:divBdr>
            </w:div>
            <w:div w:id="2014986904">
              <w:marLeft w:val="0"/>
              <w:marRight w:val="0"/>
              <w:marTop w:val="0"/>
              <w:marBottom w:val="0"/>
              <w:divBdr>
                <w:top w:val="none" w:sz="0" w:space="0" w:color="auto"/>
                <w:left w:val="none" w:sz="0" w:space="0" w:color="auto"/>
                <w:bottom w:val="none" w:sz="0" w:space="0" w:color="auto"/>
                <w:right w:val="none" w:sz="0" w:space="0" w:color="auto"/>
              </w:divBdr>
            </w:div>
            <w:div w:id="1475564880">
              <w:marLeft w:val="0"/>
              <w:marRight w:val="0"/>
              <w:marTop w:val="0"/>
              <w:marBottom w:val="0"/>
              <w:divBdr>
                <w:top w:val="none" w:sz="0" w:space="0" w:color="auto"/>
                <w:left w:val="none" w:sz="0" w:space="0" w:color="auto"/>
                <w:bottom w:val="none" w:sz="0" w:space="0" w:color="auto"/>
                <w:right w:val="none" w:sz="0" w:space="0" w:color="auto"/>
              </w:divBdr>
            </w:div>
            <w:div w:id="18259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1653">
      <w:bodyDiv w:val="1"/>
      <w:marLeft w:val="0"/>
      <w:marRight w:val="0"/>
      <w:marTop w:val="0"/>
      <w:marBottom w:val="0"/>
      <w:divBdr>
        <w:top w:val="none" w:sz="0" w:space="0" w:color="auto"/>
        <w:left w:val="none" w:sz="0" w:space="0" w:color="auto"/>
        <w:bottom w:val="none" w:sz="0" w:space="0" w:color="auto"/>
        <w:right w:val="none" w:sz="0" w:space="0" w:color="auto"/>
      </w:divBdr>
      <w:divsChild>
        <w:div w:id="1397585216">
          <w:marLeft w:val="0"/>
          <w:marRight w:val="0"/>
          <w:marTop w:val="0"/>
          <w:marBottom w:val="0"/>
          <w:divBdr>
            <w:top w:val="none" w:sz="0" w:space="0" w:color="auto"/>
            <w:left w:val="none" w:sz="0" w:space="0" w:color="auto"/>
            <w:bottom w:val="none" w:sz="0" w:space="0" w:color="auto"/>
            <w:right w:val="none" w:sz="0" w:space="0" w:color="auto"/>
          </w:divBdr>
          <w:divsChild>
            <w:div w:id="1332021702">
              <w:marLeft w:val="0"/>
              <w:marRight w:val="0"/>
              <w:marTop w:val="0"/>
              <w:marBottom w:val="0"/>
              <w:divBdr>
                <w:top w:val="none" w:sz="0" w:space="0" w:color="auto"/>
                <w:left w:val="none" w:sz="0" w:space="0" w:color="auto"/>
                <w:bottom w:val="none" w:sz="0" w:space="0" w:color="auto"/>
                <w:right w:val="none" w:sz="0" w:space="0" w:color="auto"/>
              </w:divBdr>
            </w:div>
            <w:div w:id="222182262">
              <w:marLeft w:val="0"/>
              <w:marRight w:val="0"/>
              <w:marTop w:val="0"/>
              <w:marBottom w:val="0"/>
              <w:divBdr>
                <w:top w:val="none" w:sz="0" w:space="0" w:color="auto"/>
                <w:left w:val="none" w:sz="0" w:space="0" w:color="auto"/>
                <w:bottom w:val="none" w:sz="0" w:space="0" w:color="auto"/>
                <w:right w:val="none" w:sz="0" w:space="0" w:color="auto"/>
              </w:divBdr>
            </w:div>
            <w:div w:id="1158695351">
              <w:marLeft w:val="0"/>
              <w:marRight w:val="0"/>
              <w:marTop w:val="0"/>
              <w:marBottom w:val="0"/>
              <w:divBdr>
                <w:top w:val="none" w:sz="0" w:space="0" w:color="auto"/>
                <w:left w:val="none" w:sz="0" w:space="0" w:color="auto"/>
                <w:bottom w:val="none" w:sz="0" w:space="0" w:color="auto"/>
                <w:right w:val="none" w:sz="0" w:space="0" w:color="auto"/>
              </w:divBdr>
            </w:div>
            <w:div w:id="358628853">
              <w:marLeft w:val="0"/>
              <w:marRight w:val="0"/>
              <w:marTop w:val="0"/>
              <w:marBottom w:val="0"/>
              <w:divBdr>
                <w:top w:val="none" w:sz="0" w:space="0" w:color="auto"/>
                <w:left w:val="none" w:sz="0" w:space="0" w:color="auto"/>
                <w:bottom w:val="none" w:sz="0" w:space="0" w:color="auto"/>
                <w:right w:val="none" w:sz="0" w:space="0" w:color="auto"/>
              </w:divBdr>
            </w:div>
            <w:div w:id="1783457702">
              <w:marLeft w:val="0"/>
              <w:marRight w:val="0"/>
              <w:marTop w:val="0"/>
              <w:marBottom w:val="0"/>
              <w:divBdr>
                <w:top w:val="none" w:sz="0" w:space="0" w:color="auto"/>
                <w:left w:val="none" w:sz="0" w:space="0" w:color="auto"/>
                <w:bottom w:val="none" w:sz="0" w:space="0" w:color="auto"/>
                <w:right w:val="none" w:sz="0" w:space="0" w:color="auto"/>
              </w:divBdr>
            </w:div>
            <w:div w:id="1877547412">
              <w:marLeft w:val="0"/>
              <w:marRight w:val="0"/>
              <w:marTop w:val="0"/>
              <w:marBottom w:val="0"/>
              <w:divBdr>
                <w:top w:val="none" w:sz="0" w:space="0" w:color="auto"/>
                <w:left w:val="none" w:sz="0" w:space="0" w:color="auto"/>
                <w:bottom w:val="none" w:sz="0" w:space="0" w:color="auto"/>
                <w:right w:val="none" w:sz="0" w:space="0" w:color="auto"/>
              </w:divBdr>
            </w:div>
            <w:div w:id="1193763751">
              <w:marLeft w:val="0"/>
              <w:marRight w:val="0"/>
              <w:marTop w:val="0"/>
              <w:marBottom w:val="0"/>
              <w:divBdr>
                <w:top w:val="none" w:sz="0" w:space="0" w:color="auto"/>
                <w:left w:val="none" w:sz="0" w:space="0" w:color="auto"/>
                <w:bottom w:val="none" w:sz="0" w:space="0" w:color="auto"/>
                <w:right w:val="none" w:sz="0" w:space="0" w:color="auto"/>
              </w:divBdr>
            </w:div>
            <w:div w:id="513497218">
              <w:marLeft w:val="0"/>
              <w:marRight w:val="0"/>
              <w:marTop w:val="0"/>
              <w:marBottom w:val="0"/>
              <w:divBdr>
                <w:top w:val="none" w:sz="0" w:space="0" w:color="auto"/>
                <w:left w:val="none" w:sz="0" w:space="0" w:color="auto"/>
                <w:bottom w:val="none" w:sz="0" w:space="0" w:color="auto"/>
                <w:right w:val="none" w:sz="0" w:space="0" w:color="auto"/>
              </w:divBdr>
            </w:div>
            <w:div w:id="2244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7654">
      <w:bodyDiv w:val="1"/>
      <w:marLeft w:val="0"/>
      <w:marRight w:val="0"/>
      <w:marTop w:val="0"/>
      <w:marBottom w:val="0"/>
      <w:divBdr>
        <w:top w:val="none" w:sz="0" w:space="0" w:color="auto"/>
        <w:left w:val="none" w:sz="0" w:space="0" w:color="auto"/>
        <w:bottom w:val="none" w:sz="0" w:space="0" w:color="auto"/>
        <w:right w:val="none" w:sz="0" w:space="0" w:color="auto"/>
      </w:divBdr>
      <w:divsChild>
        <w:div w:id="707491289">
          <w:marLeft w:val="0"/>
          <w:marRight w:val="0"/>
          <w:marTop w:val="0"/>
          <w:marBottom w:val="0"/>
          <w:divBdr>
            <w:top w:val="none" w:sz="0" w:space="0" w:color="auto"/>
            <w:left w:val="none" w:sz="0" w:space="0" w:color="auto"/>
            <w:bottom w:val="none" w:sz="0" w:space="0" w:color="auto"/>
            <w:right w:val="none" w:sz="0" w:space="0" w:color="auto"/>
          </w:divBdr>
          <w:divsChild>
            <w:div w:id="662123704">
              <w:marLeft w:val="0"/>
              <w:marRight w:val="0"/>
              <w:marTop w:val="0"/>
              <w:marBottom w:val="0"/>
              <w:divBdr>
                <w:top w:val="none" w:sz="0" w:space="0" w:color="auto"/>
                <w:left w:val="none" w:sz="0" w:space="0" w:color="auto"/>
                <w:bottom w:val="none" w:sz="0" w:space="0" w:color="auto"/>
                <w:right w:val="none" w:sz="0" w:space="0" w:color="auto"/>
              </w:divBdr>
            </w:div>
            <w:div w:id="310182698">
              <w:marLeft w:val="0"/>
              <w:marRight w:val="0"/>
              <w:marTop w:val="0"/>
              <w:marBottom w:val="0"/>
              <w:divBdr>
                <w:top w:val="none" w:sz="0" w:space="0" w:color="auto"/>
                <w:left w:val="none" w:sz="0" w:space="0" w:color="auto"/>
                <w:bottom w:val="none" w:sz="0" w:space="0" w:color="auto"/>
                <w:right w:val="none" w:sz="0" w:space="0" w:color="auto"/>
              </w:divBdr>
            </w:div>
            <w:div w:id="1668089283">
              <w:marLeft w:val="0"/>
              <w:marRight w:val="0"/>
              <w:marTop w:val="0"/>
              <w:marBottom w:val="0"/>
              <w:divBdr>
                <w:top w:val="none" w:sz="0" w:space="0" w:color="auto"/>
                <w:left w:val="none" w:sz="0" w:space="0" w:color="auto"/>
                <w:bottom w:val="none" w:sz="0" w:space="0" w:color="auto"/>
                <w:right w:val="none" w:sz="0" w:space="0" w:color="auto"/>
              </w:divBdr>
            </w:div>
            <w:div w:id="25638598">
              <w:marLeft w:val="0"/>
              <w:marRight w:val="0"/>
              <w:marTop w:val="0"/>
              <w:marBottom w:val="0"/>
              <w:divBdr>
                <w:top w:val="none" w:sz="0" w:space="0" w:color="auto"/>
                <w:left w:val="none" w:sz="0" w:space="0" w:color="auto"/>
                <w:bottom w:val="none" w:sz="0" w:space="0" w:color="auto"/>
                <w:right w:val="none" w:sz="0" w:space="0" w:color="auto"/>
              </w:divBdr>
            </w:div>
            <w:div w:id="1457941697">
              <w:marLeft w:val="0"/>
              <w:marRight w:val="0"/>
              <w:marTop w:val="0"/>
              <w:marBottom w:val="0"/>
              <w:divBdr>
                <w:top w:val="none" w:sz="0" w:space="0" w:color="auto"/>
                <w:left w:val="none" w:sz="0" w:space="0" w:color="auto"/>
                <w:bottom w:val="none" w:sz="0" w:space="0" w:color="auto"/>
                <w:right w:val="none" w:sz="0" w:space="0" w:color="auto"/>
              </w:divBdr>
            </w:div>
            <w:div w:id="1193956413">
              <w:marLeft w:val="0"/>
              <w:marRight w:val="0"/>
              <w:marTop w:val="0"/>
              <w:marBottom w:val="0"/>
              <w:divBdr>
                <w:top w:val="none" w:sz="0" w:space="0" w:color="auto"/>
                <w:left w:val="none" w:sz="0" w:space="0" w:color="auto"/>
                <w:bottom w:val="none" w:sz="0" w:space="0" w:color="auto"/>
                <w:right w:val="none" w:sz="0" w:space="0" w:color="auto"/>
              </w:divBdr>
            </w:div>
            <w:div w:id="1287003446">
              <w:marLeft w:val="0"/>
              <w:marRight w:val="0"/>
              <w:marTop w:val="0"/>
              <w:marBottom w:val="0"/>
              <w:divBdr>
                <w:top w:val="none" w:sz="0" w:space="0" w:color="auto"/>
                <w:left w:val="none" w:sz="0" w:space="0" w:color="auto"/>
                <w:bottom w:val="none" w:sz="0" w:space="0" w:color="auto"/>
                <w:right w:val="none" w:sz="0" w:space="0" w:color="auto"/>
              </w:divBdr>
            </w:div>
            <w:div w:id="792289870">
              <w:marLeft w:val="0"/>
              <w:marRight w:val="0"/>
              <w:marTop w:val="0"/>
              <w:marBottom w:val="0"/>
              <w:divBdr>
                <w:top w:val="none" w:sz="0" w:space="0" w:color="auto"/>
                <w:left w:val="none" w:sz="0" w:space="0" w:color="auto"/>
                <w:bottom w:val="none" w:sz="0" w:space="0" w:color="auto"/>
                <w:right w:val="none" w:sz="0" w:space="0" w:color="auto"/>
              </w:divBdr>
            </w:div>
            <w:div w:id="2112553305">
              <w:marLeft w:val="0"/>
              <w:marRight w:val="0"/>
              <w:marTop w:val="0"/>
              <w:marBottom w:val="0"/>
              <w:divBdr>
                <w:top w:val="none" w:sz="0" w:space="0" w:color="auto"/>
                <w:left w:val="none" w:sz="0" w:space="0" w:color="auto"/>
                <w:bottom w:val="none" w:sz="0" w:space="0" w:color="auto"/>
                <w:right w:val="none" w:sz="0" w:space="0" w:color="auto"/>
              </w:divBdr>
            </w:div>
            <w:div w:id="1212880671">
              <w:marLeft w:val="0"/>
              <w:marRight w:val="0"/>
              <w:marTop w:val="0"/>
              <w:marBottom w:val="0"/>
              <w:divBdr>
                <w:top w:val="none" w:sz="0" w:space="0" w:color="auto"/>
                <w:left w:val="none" w:sz="0" w:space="0" w:color="auto"/>
                <w:bottom w:val="none" w:sz="0" w:space="0" w:color="auto"/>
                <w:right w:val="none" w:sz="0" w:space="0" w:color="auto"/>
              </w:divBdr>
            </w:div>
            <w:div w:id="2411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0905">
      <w:bodyDiv w:val="1"/>
      <w:marLeft w:val="0"/>
      <w:marRight w:val="0"/>
      <w:marTop w:val="0"/>
      <w:marBottom w:val="0"/>
      <w:divBdr>
        <w:top w:val="none" w:sz="0" w:space="0" w:color="auto"/>
        <w:left w:val="none" w:sz="0" w:space="0" w:color="auto"/>
        <w:bottom w:val="none" w:sz="0" w:space="0" w:color="auto"/>
        <w:right w:val="none" w:sz="0" w:space="0" w:color="auto"/>
      </w:divBdr>
      <w:divsChild>
        <w:div w:id="1518688964">
          <w:marLeft w:val="0"/>
          <w:marRight w:val="0"/>
          <w:marTop w:val="0"/>
          <w:marBottom w:val="0"/>
          <w:divBdr>
            <w:top w:val="none" w:sz="0" w:space="0" w:color="auto"/>
            <w:left w:val="none" w:sz="0" w:space="0" w:color="auto"/>
            <w:bottom w:val="none" w:sz="0" w:space="0" w:color="auto"/>
            <w:right w:val="none" w:sz="0" w:space="0" w:color="auto"/>
          </w:divBdr>
          <w:divsChild>
            <w:div w:id="716780632">
              <w:marLeft w:val="0"/>
              <w:marRight w:val="0"/>
              <w:marTop w:val="0"/>
              <w:marBottom w:val="0"/>
              <w:divBdr>
                <w:top w:val="none" w:sz="0" w:space="0" w:color="auto"/>
                <w:left w:val="none" w:sz="0" w:space="0" w:color="auto"/>
                <w:bottom w:val="none" w:sz="0" w:space="0" w:color="auto"/>
                <w:right w:val="none" w:sz="0" w:space="0" w:color="auto"/>
              </w:divBdr>
            </w:div>
            <w:div w:id="979387426">
              <w:marLeft w:val="0"/>
              <w:marRight w:val="0"/>
              <w:marTop w:val="0"/>
              <w:marBottom w:val="0"/>
              <w:divBdr>
                <w:top w:val="none" w:sz="0" w:space="0" w:color="auto"/>
                <w:left w:val="none" w:sz="0" w:space="0" w:color="auto"/>
                <w:bottom w:val="none" w:sz="0" w:space="0" w:color="auto"/>
                <w:right w:val="none" w:sz="0" w:space="0" w:color="auto"/>
              </w:divBdr>
            </w:div>
            <w:div w:id="1603226573">
              <w:marLeft w:val="0"/>
              <w:marRight w:val="0"/>
              <w:marTop w:val="0"/>
              <w:marBottom w:val="0"/>
              <w:divBdr>
                <w:top w:val="none" w:sz="0" w:space="0" w:color="auto"/>
                <w:left w:val="none" w:sz="0" w:space="0" w:color="auto"/>
                <w:bottom w:val="none" w:sz="0" w:space="0" w:color="auto"/>
                <w:right w:val="none" w:sz="0" w:space="0" w:color="auto"/>
              </w:divBdr>
            </w:div>
            <w:div w:id="498039929">
              <w:marLeft w:val="0"/>
              <w:marRight w:val="0"/>
              <w:marTop w:val="0"/>
              <w:marBottom w:val="0"/>
              <w:divBdr>
                <w:top w:val="none" w:sz="0" w:space="0" w:color="auto"/>
                <w:left w:val="none" w:sz="0" w:space="0" w:color="auto"/>
                <w:bottom w:val="none" w:sz="0" w:space="0" w:color="auto"/>
                <w:right w:val="none" w:sz="0" w:space="0" w:color="auto"/>
              </w:divBdr>
            </w:div>
            <w:div w:id="1582837279">
              <w:marLeft w:val="0"/>
              <w:marRight w:val="0"/>
              <w:marTop w:val="0"/>
              <w:marBottom w:val="0"/>
              <w:divBdr>
                <w:top w:val="none" w:sz="0" w:space="0" w:color="auto"/>
                <w:left w:val="none" w:sz="0" w:space="0" w:color="auto"/>
                <w:bottom w:val="none" w:sz="0" w:space="0" w:color="auto"/>
                <w:right w:val="none" w:sz="0" w:space="0" w:color="auto"/>
              </w:divBdr>
            </w:div>
            <w:div w:id="1809669613">
              <w:marLeft w:val="0"/>
              <w:marRight w:val="0"/>
              <w:marTop w:val="0"/>
              <w:marBottom w:val="0"/>
              <w:divBdr>
                <w:top w:val="none" w:sz="0" w:space="0" w:color="auto"/>
                <w:left w:val="none" w:sz="0" w:space="0" w:color="auto"/>
                <w:bottom w:val="none" w:sz="0" w:space="0" w:color="auto"/>
                <w:right w:val="none" w:sz="0" w:space="0" w:color="auto"/>
              </w:divBdr>
            </w:div>
            <w:div w:id="1679313038">
              <w:marLeft w:val="0"/>
              <w:marRight w:val="0"/>
              <w:marTop w:val="0"/>
              <w:marBottom w:val="0"/>
              <w:divBdr>
                <w:top w:val="none" w:sz="0" w:space="0" w:color="auto"/>
                <w:left w:val="none" w:sz="0" w:space="0" w:color="auto"/>
                <w:bottom w:val="none" w:sz="0" w:space="0" w:color="auto"/>
                <w:right w:val="none" w:sz="0" w:space="0" w:color="auto"/>
              </w:divBdr>
            </w:div>
            <w:div w:id="359405122">
              <w:marLeft w:val="0"/>
              <w:marRight w:val="0"/>
              <w:marTop w:val="0"/>
              <w:marBottom w:val="0"/>
              <w:divBdr>
                <w:top w:val="none" w:sz="0" w:space="0" w:color="auto"/>
                <w:left w:val="none" w:sz="0" w:space="0" w:color="auto"/>
                <w:bottom w:val="none" w:sz="0" w:space="0" w:color="auto"/>
                <w:right w:val="none" w:sz="0" w:space="0" w:color="auto"/>
              </w:divBdr>
            </w:div>
            <w:div w:id="2069527556">
              <w:marLeft w:val="0"/>
              <w:marRight w:val="0"/>
              <w:marTop w:val="0"/>
              <w:marBottom w:val="0"/>
              <w:divBdr>
                <w:top w:val="none" w:sz="0" w:space="0" w:color="auto"/>
                <w:left w:val="none" w:sz="0" w:space="0" w:color="auto"/>
                <w:bottom w:val="none" w:sz="0" w:space="0" w:color="auto"/>
                <w:right w:val="none" w:sz="0" w:space="0" w:color="auto"/>
              </w:divBdr>
            </w:div>
            <w:div w:id="1190412793">
              <w:marLeft w:val="0"/>
              <w:marRight w:val="0"/>
              <w:marTop w:val="0"/>
              <w:marBottom w:val="0"/>
              <w:divBdr>
                <w:top w:val="none" w:sz="0" w:space="0" w:color="auto"/>
                <w:left w:val="none" w:sz="0" w:space="0" w:color="auto"/>
                <w:bottom w:val="none" w:sz="0" w:space="0" w:color="auto"/>
                <w:right w:val="none" w:sz="0" w:space="0" w:color="auto"/>
              </w:divBdr>
            </w:div>
            <w:div w:id="2602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64231">
      <w:bodyDiv w:val="1"/>
      <w:marLeft w:val="0"/>
      <w:marRight w:val="0"/>
      <w:marTop w:val="0"/>
      <w:marBottom w:val="0"/>
      <w:divBdr>
        <w:top w:val="none" w:sz="0" w:space="0" w:color="auto"/>
        <w:left w:val="none" w:sz="0" w:space="0" w:color="auto"/>
        <w:bottom w:val="none" w:sz="0" w:space="0" w:color="auto"/>
        <w:right w:val="none" w:sz="0" w:space="0" w:color="auto"/>
      </w:divBdr>
      <w:divsChild>
        <w:div w:id="1176460546">
          <w:marLeft w:val="0"/>
          <w:marRight w:val="0"/>
          <w:marTop w:val="0"/>
          <w:marBottom w:val="0"/>
          <w:divBdr>
            <w:top w:val="none" w:sz="0" w:space="0" w:color="auto"/>
            <w:left w:val="none" w:sz="0" w:space="0" w:color="auto"/>
            <w:bottom w:val="none" w:sz="0" w:space="0" w:color="auto"/>
            <w:right w:val="none" w:sz="0" w:space="0" w:color="auto"/>
          </w:divBdr>
          <w:divsChild>
            <w:div w:id="1085758690">
              <w:marLeft w:val="0"/>
              <w:marRight w:val="0"/>
              <w:marTop w:val="0"/>
              <w:marBottom w:val="0"/>
              <w:divBdr>
                <w:top w:val="none" w:sz="0" w:space="0" w:color="auto"/>
                <w:left w:val="none" w:sz="0" w:space="0" w:color="auto"/>
                <w:bottom w:val="none" w:sz="0" w:space="0" w:color="auto"/>
                <w:right w:val="none" w:sz="0" w:space="0" w:color="auto"/>
              </w:divBdr>
            </w:div>
            <w:div w:id="2083721234">
              <w:marLeft w:val="0"/>
              <w:marRight w:val="0"/>
              <w:marTop w:val="0"/>
              <w:marBottom w:val="0"/>
              <w:divBdr>
                <w:top w:val="none" w:sz="0" w:space="0" w:color="auto"/>
                <w:left w:val="none" w:sz="0" w:space="0" w:color="auto"/>
                <w:bottom w:val="none" w:sz="0" w:space="0" w:color="auto"/>
                <w:right w:val="none" w:sz="0" w:space="0" w:color="auto"/>
              </w:divBdr>
            </w:div>
            <w:div w:id="35664829">
              <w:marLeft w:val="0"/>
              <w:marRight w:val="0"/>
              <w:marTop w:val="0"/>
              <w:marBottom w:val="0"/>
              <w:divBdr>
                <w:top w:val="none" w:sz="0" w:space="0" w:color="auto"/>
                <w:left w:val="none" w:sz="0" w:space="0" w:color="auto"/>
                <w:bottom w:val="none" w:sz="0" w:space="0" w:color="auto"/>
                <w:right w:val="none" w:sz="0" w:space="0" w:color="auto"/>
              </w:divBdr>
            </w:div>
            <w:div w:id="1944068158">
              <w:marLeft w:val="0"/>
              <w:marRight w:val="0"/>
              <w:marTop w:val="0"/>
              <w:marBottom w:val="0"/>
              <w:divBdr>
                <w:top w:val="none" w:sz="0" w:space="0" w:color="auto"/>
                <w:left w:val="none" w:sz="0" w:space="0" w:color="auto"/>
                <w:bottom w:val="none" w:sz="0" w:space="0" w:color="auto"/>
                <w:right w:val="none" w:sz="0" w:space="0" w:color="auto"/>
              </w:divBdr>
            </w:div>
            <w:div w:id="1950971005">
              <w:marLeft w:val="0"/>
              <w:marRight w:val="0"/>
              <w:marTop w:val="0"/>
              <w:marBottom w:val="0"/>
              <w:divBdr>
                <w:top w:val="none" w:sz="0" w:space="0" w:color="auto"/>
                <w:left w:val="none" w:sz="0" w:space="0" w:color="auto"/>
                <w:bottom w:val="none" w:sz="0" w:space="0" w:color="auto"/>
                <w:right w:val="none" w:sz="0" w:space="0" w:color="auto"/>
              </w:divBdr>
            </w:div>
            <w:div w:id="2065717184">
              <w:marLeft w:val="0"/>
              <w:marRight w:val="0"/>
              <w:marTop w:val="0"/>
              <w:marBottom w:val="0"/>
              <w:divBdr>
                <w:top w:val="none" w:sz="0" w:space="0" w:color="auto"/>
                <w:left w:val="none" w:sz="0" w:space="0" w:color="auto"/>
                <w:bottom w:val="none" w:sz="0" w:space="0" w:color="auto"/>
                <w:right w:val="none" w:sz="0" w:space="0" w:color="auto"/>
              </w:divBdr>
            </w:div>
            <w:div w:id="71897995">
              <w:marLeft w:val="0"/>
              <w:marRight w:val="0"/>
              <w:marTop w:val="0"/>
              <w:marBottom w:val="0"/>
              <w:divBdr>
                <w:top w:val="none" w:sz="0" w:space="0" w:color="auto"/>
                <w:left w:val="none" w:sz="0" w:space="0" w:color="auto"/>
                <w:bottom w:val="none" w:sz="0" w:space="0" w:color="auto"/>
                <w:right w:val="none" w:sz="0" w:space="0" w:color="auto"/>
              </w:divBdr>
            </w:div>
            <w:div w:id="1357005278">
              <w:marLeft w:val="0"/>
              <w:marRight w:val="0"/>
              <w:marTop w:val="0"/>
              <w:marBottom w:val="0"/>
              <w:divBdr>
                <w:top w:val="none" w:sz="0" w:space="0" w:color="auto"/>
                <w:left w:val="none" w:sz="0" w:space="0" w:color="auto"/>
                <w:bottom w:val="none" w:sz="0" w:space="0" w:color="auto"/>
                <w:right w:val="none" w:sz="0" w:space="0" w:color="auto"/>
              </w:divBdr>
            </w:div>
            <w:div w:id="269239917">
              <w:marLeft w:val="0"/>
              <w:marRight w:val="0"/>
              <w:marTop w:val="0"/>
              <w:marBottom w:val="0"/>
              <w:divBdr>
                <w:top w:val="none" w:sz="0" w:space="0" w:color="auto"/>
                <w:left w:val="none" w:sz="0" w:space="0" w:color="auto"/>
                <w:bottom w:val="none" w:sz="0" w:space="0" w:color="auto"/>
                <w:right w:val="none" w:sz="0" w:space="0" w:color="auto"/>
              </w:divBdr>
            </w:div>
            <w:div w:id="1319261183">
              <w:marLeft w:val="0"/>
              <w:marRight w:val="0"/>
              <w:marTop w:val="0"/>
              <w:marBottom w:val="0"/>
              <w:divBdr>
                <w:top w:val="none" w:sz="0" w:space="0" w:color="auto"/>
                <w:left w:val="none" w:sz="0" w:space="0" w:color="auto"/>
                <w:bottom w:val="none" w:sz="0" w:space="0" w:color="auto"/>
                <w:right w:val="none" w:sz="0" w:space="0" w:color="auto"/>
              </w:divBdr>
            </w:div>
            <w:div w:id="214034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2205">
      <w:bodyDiv w:val="1"/>
      <w:marLeft w:val="0"/>
      <w:marRight w:val="0"/>
      <w:marTop w:val="0"/>
      <w:marBottom w:val="0"/>
      <w:divBdr>
        <w:top w:val="none" w:sz="0" w:space="0" w:color="auto"/>
        <w:left w:val="none" w:sz="0" w:space="0" w:color="auto"/>
        <w:bottom w:val="none" w:sz="0" w:space="0" w:color="auto"/>
        <w:right w:val="none" w:sz="0" w:space="0" w:color="auto"/>
      </w:divBdr>
      <w:divsChild>
        <w:div w:id="325011239">
          <w:marLeft w:val="0"/>
          <w:marRight w:val="0"/>
          <w:marTop w:val="0"/>
          <w:marBottom w:val="0"/>
          <w:divBdr>
            <w:top w:val="none" w:sz="0" w:space="0" w:color="auto"/>
            <w:left w:val="none" w:sz="0" w:space="0" w:color="auto"/>
            <w:bottom w:val="none" w:sz="0" w:space="0" w:color="auto"/>
            <w:right w:val="none" w:sz="0" w:space="0" w:color="auto"/>
          </w:divBdr>
          <w:divsChild>
            <w:div w:id="1243022863">
              <w:marLeft w:val="0"/>
              <w:marRight w:val="0"/>
              <w:marTop w:val="0"/>
              <w:marBottom w:val="0"/>
              <w:divBdr>
                <w:top w:val="none" w:sz="0" w:space="0" w:color="auto"/>
                <w:left w:val="none" w:sz="0" w:space="0" w:color="auto"/>
                <w:bottom w:val="none" w:sz="0" w:space="0" w:color="auto"/>
                <w:right w:val="none" w:sz="0" w:space="0" w:color="auto"/>
              </w:divBdr>
            </w:div>
            <w:div w:id="36587316">
              <w:marLeft w:val="0"/>
              <w:marRight w:val="0"/>
              <w:marTop w:val="0"/>
              <w:marBottom w:val="0"/>
              <w:divBdr>
                <w:top w:val="none" w:sz="0" w:space="0" w:color="auto"/>
                <w:left w:val="none" w:sz="0" w:space="0" w:color="auto"/>
                <w:bottom w:val="none" w:sz="0" w:space="0" w:color="auto"/>
                <w:right w:val="none" w:sz="0" w:space="0" w:color="auto"/>
              </w:divBdr>
            </w:div>
            <w:div w:id="688220387">
              <w:marLeft w:val="0"/>
              <w:marRight w:val="0"/>
              <w:marTop w:val="0"/>
              <w:marBottom w:val="0"/>
              <w:divBdr>
                <w:top w:val="none" w:sz="0" w:space="0" w:color="auto"/>
                <w:left w:val="none" w:sz="0" w:space="0" w:color="auto"/>
                <w:bottom w:val="none" w:sz="0" w:space="0" w:color="auto"/>
                <w:right w:val="none" w:sz="0" w:space="0" w:color="auto"/>
              </w:divBdr>
            </w:div>
            <w:div w:id="1769275669">
              <w:marLeft w:val="0"/>
              <w:marRight w:val="0"/>
              <w:marTop w:val="0"/>
              <w:marBottom w:val="0"/>
              <w:divBdr>
                <w:top w:val="none" w:sz="0" w:space="0" w:color="auto"/>
                <w:left w:val="none" w:sz="0" w:space="0" w:color="auto"/>
                <w:bottom w:val="none" w:sz="0" w:space="0" w:color="auto"/>
                <w:right w:val="none" w:sz="0" w:space="0" w:color="auto"/>
              </w:divBdr>
            </w:div>
            <w:div w:id="497892216">
              <w:marLeft w:val="0"/>
              <w:marRight w:val="0"/>
              <w:marTop w:val="0"/>
              <w:marBottom w:val="0"/>
              <w:divBdr>
                <w:top w:val="none" w:sz="0" w:space="0" w:color="auto"/>
                <w:left w:val="none" w:sz="0" w:space="0" w:color="auto"/>
                <w:bottom w:val="none" w:sz="0" w:space="0" w:color="auto"/>
                <w:right w:val="none" w:sz="0" w:space="0" w:color="auto"/>
              </w:divBdr>
            </w:div>
            <w:div w:id="45498934">
              <w:marLeft w:val="0"/>
              <w:marRight w:val="0"/>
              <w:marTop w:val="0"/>
              <w:marBottom w:val="0"/>
              <w:divBdr>
                <w:top w:val="none" w:sz="0" w:space="0" w:color="auto"/>
                <w:left w:val="none" w:sz="0" w:space="0" w:color="auto"/>
                <w:bottom w:val="none" w:sz="0" w:space="0" w:color="auto"/>
                <w:right w:val="none" w:sz="0" w:space="0" w:color="auto"/>
              </w:divBdr>
            </w:div>
            <w:div w:id="518659311">
              <w:marLeft w:val="0"/>
              <w:marRight w:val="0"/>
              <w:marTop w:val="0"/>
              <w:marBottom w:val="0"/>
              <w:divBdr>
                <w:top w:val="none" w:sz="0" w:space="0" w:color="auto"/>
                <w:left w:val="none" w:sz="0" w:space="0" w:color="auto"/>
                <w:bottom w:val="none" w:sz="0" w:space="0" w:color="auto"/>
                <w:right w:val="none" w:sz="0" w:space="0" w:color="auto"/>
              </w:divBdr>
            </w:div>
            <w:div w:id="3638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4645">
      <w:bodyDiv w:val="1"/>
      <w:marLeft w:val="0"/>
      <w:marRight w:val="0"/>
      <w:marTop w:val="0"/>
      <w:marBottom w:val="0"/>
      <w:divBdr>
        <w:top w:val="none" w:sz="0" w:space="0" w:color="auto"/>
        <w:left w:val="none" w:sz="0" w:space="0" w:color="auto"/>
        <w:bottom w:val="none" w:sz="0" w:space="0" w:color="auto"/>
        <w:right w:val="none" w:sz="0" w:space="0" w:color="auto"/>
      </w:divBdr>
      <w:divsChild>
        <w:div w:id="1365248730">
          <w:marLeft w:val="0"/>
          <w:marRight w:val="0"/>
          <w:marTop w:val="0"/>
          <w:marBottom w:val="0"/>
          <w:divBdr>
            <w:top w:val="none" w:sz="0" w:space="0" w:color="auto"/>
            <w:left w:val="none" w:sz="0" w:space="0" w:color="auto"/>
            <w:bottom w:val="none" w:sz="0" w:space="0" w:color="auto"/>
            <w:right w:val="none" w:sz="0" w:space="0" w:color="auto"/>
          </w:divBdr>
          <w:divsChild>
            <w:div w:id="1636371584">
              <w:marLeft w:val="0"/>
              <w:marRight w:val="0"/>
              <w:marTop w:val="0"/>
              <w:marBottom w:val="0"/>
              <w:divBdr>
                <w:top w:val="none" w:sz="0" w:space="0" w:color="auto"/>
                <w:left w:val="none" w:sz="0" w:space="0" w:color="auto"/>
                <w:bottom w:val="none" w:sz="0" w:space="0" w:color="auto"/>
                <w:right w:val="none" w:sz="0" w:space="0" w:color="auto"/>
              </w:divBdr>
            </w:div>
            <w:div w:id="126750790">
              <w:marLeft w:val="0"/>
              <w:marRight w:val="0"/>
              <w:marTop w:val="0"/>
              <w:marBottom w:val="0"/>
              <w:divBdr>
                <w:top w:val="none" w:sz="0" w:space="0" w:color="auto"/>
                <w:left w:val="none" w:sz="0" w:space="0" w:color="auto"/>
                <w:bottom w:val="none" w:sz="0" w:space="0" w:color="auto"/>
                <w:right w:val="none" w:sz="0" w:space="0" w:color="auto"/>
              </w:divBdr>
            </w:div>
            <w:div w:id="1735228822">
              <w:marLeft w:val="0"/>
              <w:marRight w:val="0"/>
              <w:marTop w:val="0"/>
              <w:marBottom w:val="0"/>
              <w:divBdr>
                <w:top w:val="none" w:sz="0" w:space="0" w:color="auto"/>
                <w:left w:val="none" w:sz="0" w:space="0" w:color="auto"/>
                <w:bottom w:val="none" w:sz="0" w:space="0" w:color="auto"/>
                <w:right w:val="none" w:sz="0" w:space="0" w:color="auto"/>
              </w:divBdr>
            </w:div>
            <w:div w:id="525563668">
              <w:marLeft w:val="0"/>
              <w:marRight w:val="0"/>
              <w:marTop w:val="0"/>
              <w:marBottom w:val="0"/>
              <w:divBdr>
                <w:top w:val="none" w:sz="0" w:space="0" w:color="auto"/>
                <w:left w:val="none" w:sz="0" w:space="0" w:color="auto"/>
                <w:bottom w:val="none" w:sz="0" w:space="0" w:color="auto"/>
                <w:right w:val="none" w:sz="0" w:space="0" w:color="auto"/>
              </w:divBdr>
            </w:div>
            <w:div w:id="1895582251">
              <w:marLeft w:val="0"/>
              <w:marRight w:val="0"/>
              <w:marTop w:val="0"/>
              <w:marBottom w:val="0"/>
              <w:divBdr>
                <w:top w:val="none" w:sz="0" w:space="0" w:color="auto"/>
                <w:left w:val="none" w:sz="0" w:space="0" w:color="auto"/>
                <w:bottom w:val="none" w:sz="0" w:space="0" w:color="auto"/>
                <w:right w:val="none" w:sz="0" w:space="0" w:color="auto"/>
              </w:divBdr>
            </w:div>
            <w:div w:id="2071339895">
              <w:marLeft w:val="0"/>
              <w:marRight w:val="0"/>
              <w:marTop w:val="0"/>
              <w:marBottom w:val="0"/>
              <w:divBdr>
                <w:top w:val="none" w:sz="0" w:space="0" w:color="auto"/>
                <w:left w:val="none" w:sz="0" w:space="0" w:color="auto"/>
                <w:bottom w:val="none" w:sz="0" w:space="0" w:color="auto"/>
                <w:right w:val="none" w:sz="0" w:space="0" w:color="auto"/>
              </w:divBdr>
            </w:div>
            <w:div w:id="5238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246">
      <w:bodyDiv w:val="1"/>
      <w:marLeft w:val="0"/>
      <w:marRight w:val="0"/>
      <w:marTop w:val="0"/>
      <w:marBottom w:val="0"/>
      <w:divBdr>
        <w:top w:val="none" w:sz="0" w:space="0" w:color="auto"/>
        <w:left w:val="none" w:sz="0" w:space="0" w:color="auto"/>
        <w:bottom w:val="none" w:sz="0" w:space="0" w:color="auto"/>
        <w:right w:val="none" w:sz="0" w:space="0" w:color="auto"/>
      </w:divBdr>
      <w:divsChild>
        <w:div w:id="1164051908">
          <w:marLeft w:val="0"/>
          <w:marRight w:val="0"/>
          <w:marTop w:val="0"/>
          <w:marBottom w:val="0"/>
          <w:divBdr>
            <w:top w:val="none" w:sz="0" w:space="0" w:color="auto"/>
            <w:left w:val="none" w:sz="0" w:space="0" w:color="auto"/>
            <w:bottom w:val="none" w:sz="0" w:space="0" w:color="auto"/>
            <w:right w:val="none" w:sz="0" w:space="0" w:color="auto"/>
          </w:divBdr>
          <w:divsChild>
            <w:div w:id="1213812563">
              <w:marLeft w:val="0"/>
              <w:marRight w:val="0"/>
              <w:marTop w:val="0"/>
              <w:marBottom w:val="0"/>
              <w:divBdr>
                <w:top w:val="none" w:sz="0" w:space="0" w:color="auto"/>
                <w:left w:val="none" w:sz="0" w:space="0" w:color="auto"/>
                <w:bottom w:val="none" w:sz="0" w:space="0" w:color="auto"/>
                <w:right w:val="none" w:sz="0" w:space="0" w:color="auto"/>
              </w:divBdr>
            </w:div>
            <w:div w:id="1052658862">
              <w:marLeft w:val="0"/>
              <w:marRight w:val="0"/>
              <w:marTop w:val="0"/>
              <w:marBottom w:val="0"/>
              <w:divBdr>
                <w:top w:val="none" w:sz="0" w:space="0" w:color="auto"/>
                <w:left w:val="none" w:sz="0" w:space="0" w:color="auto"/>
                <w:bottom w:val="none" w:sz="0" w:space="0" w:color="auto"/>
                <w:right w:val="none" w:sz="0" w:space="0" w:color="auto"/>
              </w:divBdr>
            </w:div>
            <w:div w:id="1100226240">
              <w:marLeft w:val="0"/>
              <w:marRight w:val="0"/>
              <w:marTop w:val="0"/>
              <w:marBottom w:val="0"/>
              <w:divBdr>
                <w:top w:val="none" w:sz="0" w:space="0" w:color="auto"/>
                <w:left w:val="none" w:sz="0" w:space="0" w:color="auto"/>
                <w:bottom w:val="none" w:sz="0" w:space="0" w:color="auto"/>
                <w:right w:val="none" w:sz="0" w:space="0" w:color="auto"/>
              </w:divBdr>
            </w:div>
            <w:div w:id="746344243">
              <w:marLeft w:val="0"/>
              <w:marRight w:val="0"/>
              <w:marTop w:val="0"/>
              <w:marBottom w:val="0"/>
              <w:divBdr>
                <w:top w:val="none" w:sz="0" w:space="0" w:color="auto"/>
                <w:left w:val="none" w:sz="0" w:space="0" w:color="auto"/>
                <w:bottom w:val="none" w:sz="0" w:space="0" w:color="auto"/>
                <w:right w:val="none" w:sz="0" w:space="0" w:color="auto"/>
              </w:divBdr>
            </w:div>
            <w:div w:id="2043900302">
              <w:marLeft w:val="0"/>
              <w:marRight w:val="0"/>
              <w:marTop w:val="0"/>
              <w:marBottom w:val="0"/>
              <w:divBdr>
                <w:top w:val="none" w:sz="0" w:space="0" w:color="auto"/>
                <w:left w:val="none" w:sz="0" w:space="0" w:color="auto"/>
                <w:bottom w:val="none" w:sz="0" w:space="0" w:color="auto"/>
                <w:right w:val="none" w:sz="0" w:space="0" w:color="auto"/>
              </w:divBdr>
            </w:div>
            <w:div w:id="213780442">
              <w:marLeft w:val="0"/>
              <w:marRight w:val="0"/>
              <w:marTop w:val="0"/>
              <w:marBottom w:val="0"/>
              <w:divBdr>
                <w:top w:val="none" w:sz="0" w:space="0" w:color="auto"/>
                <w:left w:val="none" w:sz="0" w:space="0" w:color="auto"/>
                <w:bottom w:val="none" w:sz="0" w:space="0" w:color="auto"/>
                <w:right w:val="none" w:sz="0" w:space="0" w:color="auto"/>
              </w:divBdr>
            </w:div>
            <w:div w:id="1139302333">
              <w:marLeft w:val="0"/>
              <w:marRight w:val="0"/>
              <w:marTop w:val="0"/>
              <w:marBottom w:val="0"/>
              <w:divBdr>
                <w:top w:val="none" w:sz="0" w:space="0" w:color="auto"/>
                <w:left w:val="none" w:sz="0" w:space="0" w:color="auto"/>
                <w:bottom w:val="none" w:sz="0" w:space="0" w:color="auto"/>
                <w:right w:val="none" w:sz="0" w:space="0" w:color="auto"/>
              </w:divBdr>
            </w:div>
            <w:div w:id="161091217">
              <w:marLeft w:val="0"/>
              <w:marRight w:val="0"/>
              <w:marTop w:val="0"/>
              <w:marBottom w:val="0"/>
              <w:divBdr>
                <w:top w:val="none" w:sz="0" w:space="0" w:color="auto"/>
                <w:left w:val="none" w:sz="0" w:space="0" w:color="auto"/>
                <w:bottom w:val="none" w:sz="0" w:space="0" w:color="auto"/>
                <w:right w:val="none" w:sz="0" w:space="0" w:color="auto"/>
              </w:divBdr>
            </w:div>
            <w:div w:id="16466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0790">
      <w:bodyDiv w:val="1"/>
      <w:marLeft w:val="0"/>
      <w:marRight w:val="0"/>
      <w:marTop w:val="0"/>
      <w:marBottom w:val="0"/>
      <w:divBdr>
        <w:top w:val="none" w:sz="0" w:space="0" w:color="auto"/>
        <w:left w:val="none" w:sz="0" w:space="0" w:color="auto"/>
        <w:bottom w:val="none" w:sz="0" w:space="0" w:color="auto"/>
        <w:right w:val="none" w:sz="0" w:space="0" w:color="auto"/>
      </w:divBdr>
      <w:divsChild>
        <w:div w:id="1099326413">
          <w:marLeft w:val="0"/>
          <w:marRight w:val="0"/>
          <w:marTop w:val="0"/>
          <w:marBottom w:val="0"/>
          <w:divBdr>
            <w:top w:val="none" w:sz="0" w:space="0" w:color="auto"/>
            <w:left w:val="none" w:sz="0" w:space="0" w:color="auto"/>
            <w:bottom w:val="none" w:sz="0" w:space="0" w:color="auto"/>
            <w:right w:val="none" w:sz="0" w:space="0" w:color="auto"/>
          </w:divBdr>
          <w:divsChild>
            <w:div w:id="362873386">
              <w:marLeft w:val="0"/>
              <w:marRight w:val="0"/>
              <w:marTop w:val="0"/>
              <w:marBottom w:val="0"/>
              <w:divBdr>
                <w:top w:val="none" w:sz="0" w:space="0" w:color="auto"/>
                <w:left w:val="none" w:sz="0" w:space="0" w:color="auto"/>
                <w:bottom w:val="none" w:sz="0" w:space="0" w:color="auto"/>
                <w:right w:val="none" w:sz="0" w:space="0" w:color="auto"/>
              </w:divBdr>
            </w:div>
            <w:div w:id="112139926">
              <w:marLeft w:val="0"/>
              <w:marRight w:val="0"/>
              <w:marTop w:val="0"/>
              <w:marBottom w:val="0"/>
              <w:divBdr>
                <w:top w:val="none" w:sz="0" w:space="0" w:color="auto"/>
                <w:left w:val="none" w:sz="0" w:space="0" w:color="auto"/>
                <w:bottom w:val="none" w:sz="0" w:space="0" w:color="auto"/>
                <w:right w:val="none" w:sz="0" w:space="0" w:color="auto"/>
              </w:divBdr>
            </w:div>
            <w:div w:id="1595934880">
              <w:marLeft w:val="0"/>
              <w:marRight w:val="0"/>
              <w:marTop w:val="0"/>
              <w:marBottom w:val="0"/>
              <w:divBdr>
                <w:top w:val="none" w:sz="0" w:space="0" w:color="auto"/>
                <w:left w:val="none" w:sz="0" w:space="0" w:color="auto"/>
                <w:bottom w:val="none" w:sz="0" w:space="0" w:color="auto"/>
                <w:right w:val="none" w:sz="0" w:space="0" w:color="auto"/>
              </w:divBdr>
            </w:div>
            <w:div w:id="1602642101">
              <w:marLeft w:val="0"/>
              <w:marRight w:val="0"/>
              <w:marTop w:val="0"/>
              <w:marBottom w:val="0"/>
              <w:divBdr>
                <w:top w:val="none" w:sz="0" w:space="0" w:color="auto"/>
                <w:left w:val="none" w:sz="0" w:space="0" w:color="auto"/>
                <w:bottom w:val="none" w:sz="0" w:space="0" w:color="auto"/>
                <w:right w:val="none" w:sz="0" w:space="0" w:color="auto"/>
              </w:divBdr>
            </w:div>
            <w:div w:id="900018298">
              <w:marLeft w:val="0"/>
              <w:marRight w:val="0"/>
              <w:marTop w:val="0"/>
              <w:marBottom w:val="0"/>
              <w:divBdr>
                <w:top w:val="none" w:sz="0" w:space="0" w:color="auto"/>
                <w:left w:val="none" w:sz="0" w:space="0" w:color="auto"/>
                <w:bottom w:val="none" w:sz="0" w:space="0" w:color="auto"/>
                <w:right w:val="none" w:sz="0" w:space="0" w:color="auto"/>
              </w:divBdr>
            </w:div>
            <w:div w:id="1387415353">
              <w:marLeft w:val="0"/>
              <w:marRight w:val="0"/>
              <w:marTop w:val="0"/>
              <w:marBottom w:val="0"/>
              <w:divBdr>
                <w:top w:val="none" w:sz="0" w:space="0" w:color="auto"/>
                <w:left w:val="none" w:sz="0" w:space="0" w:color="auto"/>
                <w:bottom w:val="none" w:sz="0" w:space="0" w:color="auto"/>
                <w:right w:val="none" w:sz="0" w:space="0" w:color="auto"/>
              </w:divBdr>
            </w:div>
            <w:div w:id="19480843">
              <w:marLeft w:val="0"/>
              <w:marRight w:val="0"/>
              <w:marTop w:val="0"/>
              <w:marBottom w:val="0"/>
              <w:divBdr>
                <w:top w:val="none" w:sz="0" w:space="0" w:color="auto"/>
                <w:left w:val="none" w:sz="0" w:space="0" w:color="auto"/>
                <w:bottom w:val="none" w:sz="0" w:space="0" w:color="auto"/>
                <w:right w:val="none" w:sz="0" w:space="0" w:color="auto"/>
              </w:divBdr>
            </w:div>
            <w:div w:id="15195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6618">
      <w:bodyDiv w:val="1"/>
      <w:marLeft w:val="0"/>
      <w:marRight w:val="0"/>
      <w:marTop w:val="0"/>
      <w:marBottom w:val="0"/>
      <w:divBdr>
        <w:top w:val="none" w:sz="0" w:space="0" w:color="auto"/>
        <w:left w:val="none" w:sz="0" w:space="0" w:color="auto"/>
        <w:bottom w:val="none" w:sz="0" w:space="0" w:color="auto"/>
        <w:right w:val="none" w:sz="0" w:space="0" w:color="auto"/>
      </w:divBdr>
      <w:divsChild>
        <w:div w:id="202064812">
          <w:marLeft w:val="0"/>
          <w:marRight w:val="0"/>
          <w:marTop w:val="0"/>
          <w:marBottom w:val="0"/>
          <w:divBdr>
            <w:top w:val="none" w:sz="0" w:space="0" w:color="auto"/>
            <w:left w:val="none" w:sz="0" w:space="0" w:color="auto"/>
            <w:bottom w:val="none" w:sz="0" w:space="0" w:color="auto"/>
            <w:right w:val="none" w:sz="0" w:space="0" w:color="auto"/>
          </w:divBdr>
          <w:divsChild>
            <w:div w:id="511994560">
              <w:marLeft w:val="0"/>
              <w:marRight w:val="0"/>
              <w:marTop w:val="0"/>
              <w:marBottom w:val="0"/>
              <w:divBdr>
                <w:top w:val="none" w:sz="0" w:space="0" w:color="auto"/>
                <w:left w:val="none" w:sz="0" w:space="0" w:color="auto"/>
                <w:bottom w:val="none" w:sz="0" w:space="0" w:color="auto"/>
                <w:right w:val="none" w:sz="0" w:space="0" w:color="auto"/>
              </w:divBdr>
            </w:div>
            <w:div w:id="1641765575">
              <w:marLeft w:val="0"/>
              <w:marRight w:val="0"/>
              <w:marTop w:val="0"/>
              <w:marBottom w:val="0"/>
              <w:divBdr>
                <w:top w:val="none" w:sz="0" w:space="0" w:color="auto"/>
                <w:left w:val="none" w:sz="0" w:space="0" w:color="auto"/>
                <w:bottom w:val="none" w:sz="0" w:space="0" w:color="auto"/>
                <w:right w:val="none" w:sz="0" w:space="0" w:color="auto"/>
              </w:divBdr>
            </w:div>
            <w:div w:id="665279366">
              <w:marLeft w:val="0"/>
              <w:marRight w:val="0"/>
              <w:marTop w:val="0"/>
              <w:marBottom w:val="0"/>
              <w:divBdr>
                <w:top w:val="none" w:sz="0" w:space="0" w:color="auto"/>
                <w:left w:val="none" w:sz="0" w:space="0" w:color="auto"/>
                <w:bottom w:val="none" w:sz="0" w:space="0" w:color="auto"/>
                <w:right w:val="none" w:sz="0" w:space="0" w:color="auto"/>
              </w:divBdr>
            </w:div>
            <w:div w:id="1457675689">
              <w:marLeft w:val="0"/>
              <w:marRight w:val="0"/>
              <w:marTop w:val="0"/>
              <w:marBottom w:val="0"/>
              <w:divBdr>
                <w:top w:val="none" w:sz="0" w:space="0" w:color="auto"/>
                <w:left w:val="none" w:sz="0" w:space="0" w:color="auto"/>
                <w:bottom w:val="none" w:sz="0" w:space="0" w:color="auto"/>
                <w:right w:val="none" w:sz="0" w:space="0" w:color="auto"/>
              </w:divBdr>
            </w:div>
            <w:div w:id="1365404371">
              <w:marLeft w:val="0"/>
              <w:marRight w:val="0"/>
              <w:marTop w:val="0"/>
              <w:marBottom w:val="0"/>
              <w:divBdr>
                <w:top w:val="none" w:sz="0" w:space="0" w:color="auto"/>
                <w:left w:val="none" w:sz="0" w:space="0" w:color="auto"/>
                <w:bottom w:val="none" w:sz="0" w:space="0" w:color="auto"/>
                <w:right w:val="none" w:sz="0" w:space="0" w:color="auto"/>
              </w:divBdr>
            </w:div>
            <w:div w:id="1050962929">
              <w:marLeft w:val="0"/>
              <w:marRight w:val="0"/>
              <w:marTop w:val="0"/>
              <w:marBottom w:val="0"/>
              <w:divBdr>
                <w:top w:val="none" w:sz="0" w:space="0" w:color="auto"/>
                <w:left w:val="none" w:sz="0" w:space="0" w:color="auto"/>
                <w:bottom w:val="none" w:sz="0" w:space="0" w:color="auto"/>
                <w:right w:val="none" w:sz="0" w:space="0" w:color="auto"/>
              </w:divBdr>
            </w:div>
            <w:div w:id="589897030">
              <w:marLeft w:val="0"/>
              <w:marRight w:val="0"/>
              <w:marTop w:val="0"/>
              <w:marBottom w:val="0"/>
              <w:divBdr>
                <w:top w:val="none" w:sz="0" w:space="0" w:color="auto"/>
                <w:left w:val="none" w:sz="0" w:space="0" w:color="auto"/>
                <w:bottom w:val="none" w:sz="0" w:space="0" w:color="auto"/>
                <w:right w:val="none" w:sz="0" w:space="0" w:color="auto"/>
              </w:divBdr>
            </w:div>
            <w:div w:id="107285745">
              <w:marLeft w:val="0"/>
              <w:marRight w:val="0"/>
              <w:marTop w:val="0"/>
              <w:marBottom w:val="0"/>
              <w:divBdr>
                <w:top w:val="none" w:sz="0" w:space="0" w:color="auto"/>
                <w:left w:val="none" w:sz="0" w:space="0" w:color="auto"/>
                <w:bottom w:val="none" w:sz="0" w:space="0" w:color="auto"/>
                <w:right w:val="none" w:sz="0" w:space="0" w:color="auto"/>
              </w:divBdr>
            </w:div>
            <w:div w:id="2039818988">
              <w:marLeft w:val="0"/>
              <w:marRight w:val="0"/>
              <w:marTop w:val="0"/>
              <w:marBottom w:val="0"/>
              <w:divBdr>
                <w:top w:val="none" w:sz="0" w:space="0" w:color="auto"/>
                <w:left w:val="none" w:sz="0" w:space="0" w:color="auto"/>
                <w:bottom w:val="none" w:sz="0" w:space="0" w:color="auto"/>
                <w:right w:val="none" w:sz="0" w:space="0" w:color="auto"/>
              </w:divBdr>
            </w:div>
            <w:div w:id="9957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3696">
      <w:bodyDiv w:val="1"/>
      <w:marLeft w:val="0"/>
      <w:marRight w:val="0"/>
      <w:marTop w:val="0"/>
      <w:marBottom w:val="0"/>
      <w:divBdr>
        <w:top w:val="none" w:sz="0" w:space="0" w:color="auto"/>
        <w:left w:val="none" w:sz="0" w:space="0" w:color="auto"/>
        <w:bottom w:val="none" w:sz="0" w:space="0" w:color="auto"/>
        <w:right w:val="none" w:sz="0" w:space="0" w:color="auto"/>
      </w:divBdr>
      <w:divsChild>
        <w:div w:id="1605113506">
          <w:marLeft w:val="0"/>
          <w:marRight w:val="0"/>
          <w:marTop w:val="0"/>
          <w:marBottom w:val="0"/>
          <w:divBdr>
            <w:top w:val="none" w:sz="0" w:space="0" w:color="auto"/>
            <w:left w:val="none" w:sz="0" w:space="0" w:color="auto"/>
            <w:bottom w:val="none" w:sz="0" w:space="0" w:color="auto"/>
            <w:right w:val="none" w:sz="0" w:space="0" w:color="auto"/>
          </w:divBdr>
          <w:divsChild>
            <w:div w:id="312954913">
              <w:marLeft w:val="0"/>
              <w:marRight w:val="0"/>
              <w:marTop w:val="0"/>
              <w:marBottom w:val="0"/>
              <w:divBdr>
                <w:top w:val="none" w:sz="0" w:space="0" w:color="auto"/>
                <w:left w:val="none" w:sz="0" w:space="0" w:color="auto"/>
                <w:bottom w:val="none" w:sz="0" w:space="0" w:color="auto"/>
                <w:right w:val="none" w:sz="0" w:space="0" w:color="auto"/>
              </w:divBdr>
            </w:div>
            <w:div w:id="778723772">
              <w:marLeft w:val="0"/>
              <w:marRight w:val="0"/>
              <w:marTop w:val="0"/>
              <w:marBottom w:val="0"/>
              <w:divBdr>
                <w:top w:val="none" w:sz="0" w:space="0" w:color="auto"/>
                <w:left w:val="none" w:sz="0" w:space="0" w:color="auto"/>
                <w:bottom w:val="none" w:sz="0" w:space="0" w:color="auto"/>
                <w:right w:val="none" w:sz="0" w:space="0" w:color="auto"/>
              </w:divBdr>
            </w:div>
            <w:div w:id="2096970323">
              <w:marLeft w:val="0"/>
              <w:marRight w:val="0"/>
              <w:marTop w:val="0"/>
              <w:marBottom w:val="0"/>
              <w:divBdr>
                <w:top w:val="none" w:sz="0" w:space="0" w:color="auto"/>
                <w:left w:val="none" w:sz="0" w:space="0" w:color="auto"/>
                <w:bottom w:val="none" w:sz="0" w:space="0" w:color="auto"/>
                <w:right w:val="none" w:sz="0" w:space="0" w:color="auto"/>
              </w:divBdr>
            </w:div>
            <w:div w:id="346517898">
              <w:marLeft w:val="0"/>
              <w:marRight w:val="0"/>
              <w:marTop w:val="0"/>
              <w:marBottom w:val="0"/>
              <w:divBdr>
                <w:top w:val="none" w:sz="0" w:space="0" w:color="auto"/>
                <w:left w:val="none" w:sz="0" w:space="0" w:color="auto"/>
                <w:bottom w:val="none" w:sz="0" w:space="0" w:color="auto"/>
                <w:right w:val="none" w:sz="0" w:space="0" w:color="auto"/>
              </w:divBdr>
            </w:div>
            <w:div w:id="1629160907">
              <w:marLeft w:val="0"/>
              <w:marRight w:val="0"/>
              <w:marTop w:val="0"/>
              <w:marBottom w:val="0"/>
              <w:divBdr>
                <w:top w:val="none" w:sz="0" w:space="0" w:color="auto"/>
                <w:left w:val="none" w:sz="0" w:space="0" w:color="auto"/>
                <w:bottom w:val="none" w:sz="0" w:space="0" w:color="auto"/>
                <w:right w:val="none" w:sz="0" w:space="0" w:color="auto"/>
              </w:divBdr>
            </w:div>
            <w:div w:id="1443068674">
              <w:marLeft w:val="0"/>
              <w:marRight w:val="0"/>
              <w:marTop w:val="0"/>
              <w:marBottom w:val="0"/>
              <w:divBdr>
                <w:top w:val="none" w:sz="0" w:space="0" w:color="auto"/>
                <w:left w:val="none" w:sz="0" w:space="0" w:color="auto"/>
                <w:bottom w:val="none" w:sz="0" w:space="0" w:color="auto"/>
                <w:right w:val="none" w:sz="0" w:space="0" w:color="auto"/>
              </w:divBdr>
            </w:div>
            <w:div w:id="484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4523">
      <w:bodyDiv w:val="1"/>
      <w:marLeft w:val="0"/>
      <w:marRight w:val="0"/>
      <w:marTop w:val="0"/>
      <w:marBottom w:val="0"/>
      <w:divBdr>
        <w:top w:val="none" w:sz="0" w:space="0" w:color="auto"/>
        <w:left w:val="none" w:sz="0" w:space="0" w:color="auto"/>
        <w:bottom w:val="none" w:sz="0" w:space="0" w:color="auto"/>
        <w:right w:val="none" w:sz="0" w:space="0" w:color="auto"/>
      </w:divBdr>
      <w:divsChild>
        <w:div w:id="1302495056">
          <w:marLeft w:val="0"/>
          <w:marRight w:val="0"/>
          <w:marTop w:val="0"/>
          <w:marBottom w:val="0"/>
          <w:divBdr>
            <w:top w:val="none" w:sz="0" w:space="0" w:color="auto"/>
            <w:left w:val="none" w:sz="0" w:space="0" w:color="auto"/>
            <w:bottom w:val="none" w:sz="0" w:space="0" w:color="auto"/>
            <w:right w:val="none" w:sz="0" w:space="0" w:color="auto"/>
          </w:divBdr>
          <w:divsChild>
            <w:div w:id="16732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5779">
      <w:bodyDiv w:val="1"/>
      <w:marLeft w:val="0"/>
      <w:marRight w:val="0"/>
      <w:marTop w:val="0"/>
      <w:marBottom w:val="0"/>
      <w:divBdr>
        <w:top w:val="none" w:sz="0" w:space="0" w:color="auto"/>
        <w:left w:val="none" w:sz="0" w:space="0" w:color="auto"/>
        <w:bottom w:val="none" w:sz="0" w:space="0" w:color="auto"/>
        <w:right w:val="none" w:sz="0" w:space="0" w:color="auto"/>
      </w:divBdr>
      <w:divsChild>
        <w:div w:id="724454835">
          <w:marLeft w:val="0"/>
          <w:marRight w:val="0"/>
          <w:marTop w:val="0"/>
          <w:marBottom w:val="0"/>
          <w:divBdr>
            <w:top w:val="none" w:sz="0" w:space="0" w:color="auto"/>
            <w:left w:val="none" w:sz="0" w:space="0" w:color="auto"/>
            <w:bottom w:val="none" w:sz="0" w:space="0" w:color="auto"/>
            <w:right w:val="none" w:sz="0" w:space="0" w:color="auto"/>
          </w:divBdr>
          <w:divsChild>
            <w:div w:id="1326593872">
              <w:marLeft w:val="0"/>
              <w:marRight w:val="0"/>
              <w:marTop w:val="0"/>
              <w:marBottom w:val="0"/>
              <w:divBdr>
                <w:top w:val="none" w:sz="0" w:space="0" w:color="auto"/>
                <w:left w:val="none" w:sz="0" w:space="0" w:color="auto"/>
                <w:bottom w:val="none" w:sz="0" w:space="0" w:color="auto"/>
                <w:right w:val="none" w:sz="0" w:space="0" w:color="auto"/>
              </w:divBdr>
            </w:div>
            <w:div w:id="405078454">
              <w:marLeft w:val="0"/>
              <w:marRight w:val="0"/>
              <w:marTop w:val="0"/>
              <w:marBottom w:val="0"/>
              <w:divBdr>
                <w:top w:val="none" w:sz="0" w:space="0" w:color="auto"/>
                <w:left w:val="none" w:sz="0" w:space="0" w:color="auto"/>
                <w:bottom w:val="none" w:sz="0" w:space="0" w:color="auto"/>
                <w:right w:val="none" w:sz="0" w:space="0" w:color="auto"/>
              </w:divBdr>
            </w:div>
            <w:div w:id="767191015">
              <w:marLeft w:val="0"/>
              <w:marRight w:val="0"/>
              <w:marTop w:val="0"/>
              <w:marBottom w:val="0"/>
              <w:divBdr>
                <w:top w:val="none" w:sz="0" w:space="0" w:color="auto"/>
                <w:left w:val="none" w:sz="0" w:space="0" w:color="auto"/>
                <w:bottom w:val="none" w:sz="0" w:space="0" w:color="auto"/>
                <w:right w:val="none" w:sz="0" w:space="0" w:color="auto"/>
              </w:divBdr>
            </w:div>
            <w:div w:id="1111558950">
              <w:marLeft w:val="0"/>
              <w:marRight w:val="0"/>
              <w:marTop w:val="0"/>
              <w:marBottom w:val="0"/>
              <w:divBdr>
                <w:top w:val="none" w:sz="0" w:space="0" w:color="auto"/>
                <w:left w:val="none" w:sz="0" w:space="0" w:color="auto"/>
                <w:bottom w:val="none" w:sz="0" w:space="0" w:color="auto"/>
                <w:right w:val="none" w:sz="0" w:space="0" w:color="auto"/>
              </w:divBdr>
            </w:div>
            <w:div w:id="744911795">
              <w:marLeft w:val="0"/>
              <w:marRight w:val="0"/>
              <w:marTop w:val="0"/>
              <w:marBottom w:val="0"/>
              <w:divBdr>
                <w:top w:val="none" w:sz="0" w:space="0" w:color="auto"/>
                <w:left w:val="none" w:sz="0" w:space="0" w:color="auto"/>
                <w:bottom w:val="none" w:sz="0" w:space="0" w:color="auto"/>
                <w:right w:val="none" w:sz="0" w:space="0" w:color="auto"/>
              </w:divBdr>
            </w:div>
            <w:div w:id="1322657954">
              <w:marLeft w:val="0"/>
              <w:marRight w:val="0"/>
              <w:marTop w:val="0"/>
              <w:marBottom w:val="0"/>
              <w:divBdr>
                <w:top w:val="none" w:sz="0" w:space="0" w:color="auto"/>
                <w:left w:val="none" w:sz="0" w:space="0" w:color="auto"/>
                <w:bottom w:val="none" w:sz="0" w:space="0" w:color="auto"/>
                <w:right w:val="none" w:sz="0" w:space="0" w:color="auto"/>
              </w:divBdr>
            </w:div>
            <w:div w:id="1742949668">
              <w:marLeft w:val="0"/>
              <w:marRight w:val="0"/>
              <w:marTop w:val="0"/>
              <w:marBottom w:val="0"/>
              <w:divBdr>
                <w:top w:val="none" w:sz="0" w:space="0" w:color="auto"/>
                <w:left w:val="none" w:sz="0" w:space="0" w:color="auto"/>
                <w:bottom w:val="none" w:sz="0" w:space="0" w:color="auto"/>
                <w:right w:val="none" w:sz="0" w:space="0" w:color="auto"/>
              </w:divBdr>
            </w:div>
            <w:div w:id="1777287088">
              <w:marLeft w:val="0"/>
              <w:marRight w:val="0"/>
              <w:marTop w:val="0"/>
              <w:marBottom w:val="0"/>
              <w:divBdr>
                <w:top w:val="none" w:sz="0" w:space="0" w:color="auto"/>
                <w:left w:val="none" w:sz="0" w:space="0" w:color="auto"/>
                <w:bottom w:val="none" w:sz="0" w:space="0" w:color="auto"/>
                <w:right w:val="none" w:sz="0" w:space="0" w:color="auto"/>
              </w:divBdr>
            </w:div>
            <w:div w:id="1418208589">
              <w:marLeft w:val="0"/>
              <w:marRight w:val="0"/>
              <w:marTop w:val="0"/>
              <w:marBottom w:val="0"/>
              <w:divBdr>
                <w:top w:val="none" w:sz="0" w:space="0" w:color="auto"/>
                <w:left w:val="none" w:sz="0" w:space="0" w:color="auto"/>
                <w:bottom w:val="none" w:sz="0" w:space="0" w:color="auto"/>
                <w:right w:val="none" w:sz="0" w:space="0" w:color="auto"/>
              </w:divBdr>
            </w:div>
            <w:div w:id="251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19079">
      <w:bodyDiv w:val="1"/>
      <w:marLeft w:val="0"/>
      <w:marRight w:val="0"/>
      <w:marTop w:val="0"/>
      <w:marBottom w:val="0"/>
      <w:divBdr>
        <w:top w:val="none" w:sz="0" w:space="0" w:color="auto"/>
        <w:left w:val="none" w:sz="0" w:space="0" w:color="auto"/>
        <w:bottom w:val="none" w:sz="0" w:space="0" w:color="auto"/>
        <w:right w:val="none" w:sz="0" w:space="0" w:color="auto"/>
      </w:divBdr>
      <w:divsChild>
        <w:div w:id="1625963243">
          <w:marLeft w:val="0"/>
          <w:marRight w:val="0"/>
          <w:marTop w:val="0"/>
          <w:marBottom w:val="0"/>
          <w:divBdr>
            <w:top w:val="none" w:sz="0" w:space="0" w:color="auto"/>
            <w:left w:val="none" w:sz="0" w:space="0" w:color="auto"/>
            <w:bottom w:val="none" w:sz="0" w:space="0" w:color="auto"/>
            <w:right w:val="none" w:sz="0" w:space="0" w:color="auto"/>
          </w:divBdr>
          <w:divsChild>
            <w:div w:id="1654026202">
              <w:marLeft w:val="0"/>
              <w:marRight w:val="0"/>
              <w:marTop w:val="0"/>
              <w:marBottom w:val="0"/>
              <w:divBdr>
                <w:top w:val="none" w:sz="0" w:space="0" w:color="auto"/>
                <w:left w:val="none" w:sz="0" w:space="0" w:color="auto"/>
                <w:bottom w:val="none" w:sz="0" w:space="0" w:color="auto"/>
                <w:right w:val="none" w:sz="0" w:space="0" w:color="auto"/>
              </w:divBdr>
            </w:div>
            <w:div w:id="383798599">
              <w:marLeft w:val="0"/>
              <w:marRight w:val="0"/>
              <w:marTop w:val="0"/>
              <w:marBottom w:val="0"/>
              <w:divBdr>
                <w:top w:val="none" w:sz="0" w:space="0" w:color="auto"/>
                <w:left w:val="none" w:sz="0" w:space="0" w:color="auto"/>
                <w:bottom w:val="none" w:sz="0" w:space="0" w:color="auto"/>
                <w:right w:val="none" w:sz="0" w:space="0" w:color="auto"/>
              </w:divBdr>
            </w:div>
            <w:div w:id="1322349283">
              <w:marLeft w:val="0"/>
              <w:marRight w:val="0"/>
              <w:marTop w:val="0"/>
              <w:marBottom w:val="0"/>
              <w:divBdr>
                <w:top w:val="none" w:sz="0" w:space="0" w:color="auto"/>
                <w:left w:val="none" w:sz="0" w:space="0" w:color="auto"/>
                <w:bottom w:val="none" w:sz="0" w:space="0" w:color="auto"/>
                <w:right w:val="none" w:sz="0" w:space="0" w:color="auto"/>
              </w:divBdr>
            </w:div>
            <w:div w:id="483863472">
              <w:marLeft w:val="0"/>
              <w:marRight w:val="0"/>
              <w:marTop w:val="0"/>
              <w:marBottom w:val="0"/>
              <w:divBdr>
                <w:top w:val="none" w:sz="0" w:space="0" w:color="auto"/>
                <w:left w:val="none" w:sz="0" w:space="0" w:color="auto"/>
                <w:bottom w:val="none" w:sz="0" w:space="0" w:color="auto"/>
                <w:right w:val="none" w:sz="0" w:space="0" w:color="auto"/>
              </w:divBdr>
            </w:div>
            <w:div w:id="104931266">
              <w:marLeft w:val="0"/>
              <w:marRight w:val="0"/>
              <w:marTop w:val="0"/>
              <w:marBottom w:val="0"/>
              <w:divBdr>
                <w:top w:val="none" w:sz="0" w:space="0" w:color="auto"/>
                <w:left w:val="none" w:sz="0" w:space="0" w:color="auto"/>
                <w:bottom w:val="none" w:sz="0" w:space="0" w:color="auto"/>
                <w:right w:val="none" w:sz="0" w:space="0" w:color="auto"/>
              </w:divBdr>
            </w:div>
            <w:div w:id="1461340677">
              <w:marLeft w:val="0"/>
              <w:marRight w:val="0"/>
              <w:marTop w:val="0"/>
              <w:marBottom w:val="0"/>
              <w:divBdr>
                <w:top w:val="none" w:sz="0" w:space="0" w:color="auto"/>
                <w:left w:val="none" w:sz="0" w:space="0" w:color="auto"/>
                <w:bottom w:val="none" w:sz="0" w:space="0" w:color="auto"/>
                <w:right w:val="none" w:sz="0" w:space="0" w:color="auto"/>
              </w:divBdr>
            </w:div>
            <w:div w:id="955678169">
              <w:marLeft w:val="0"/>
              <w:marRight w:val="0"/>
              <w:marTop w:val="0"/>
              <w:marBottom w:val="0"/>
              <w:divBdr>
                <w:top w:val="none" w:sz="0" w:space="0" w:color="auto"/>
                <w:left w:val="none" w:sz="0" w:space="0" w:color="auto"/>
                <w:bottom w:val="none" w:sz="0" w:space="0" w:color="auto"/>
                <w:right w:val="none" w:sz="0" w:space="0" w:color="auto"/>
              </w:divBdr>
            </w:div>
            <w:div w:id="270822245">
              <w:marLeft w:val="0"/>
              <w:marRight w:val="0"/>
              <w:marTop w:val="0"/>
              <w:marBottom w:val="0"/>
              <w:divBdr>
                <w:top w:val="none" w:sz="0" w:space="0" w:color="auto"/>
                <w:left w:val="none" w:sz="0" w:space="0" w:color="auto"/>
                <w:bottom w:val="none" w:sz="0" w:space="0" w:color="auto"/>
                <w:right w:val="none" w:sz="0" w:space="0" w:color="auto"/>
              </w:divBdr>
            </w:div>
            <w:div w:id="393283528">
              <w:marLeft w:val="0"/>
              <w:marRight w:val="0"/>
              <w:marTop w:val="0"/>
              <w:marBottom w:val="0"/>
              <w:divBdr>
                <w:top w:val="none" w:sz="0" w:space="0" w:color="auto"/>
                <w:left w:val="none" w:sz="0" w:space="0" w:color="auto"/>
                <w:bottom w:val="none" w:sz="0" w:space="0" w:color="auto"/>
                <w:right w:val="none" w:sz="0" w:space="0" w:color="auto"/>
              </w:divBdr>
            </w:div>
            <w:div w:id="993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8434">
      <w:bodyDiv w:val="1"/>
      <w:marLeft w:val="0"/>
      <w:marRight w:val="0"/>
      <w:marTop w:val="0"/>
      <w:marBottom w:val="0"/>
      <w:divBdr>
        <w:top w:val="none" w:sz="0" w:space="0" w:color="auto"/>
        <w:left w:val="none" w:sz="0" w:space="0" w:color="auto"/>
        <w:bottom w:val="none" w:sz="0" w:space="0" w:color="auto"/>
        <w:right w:val="none" w:sz="0" w:space="0" w:color="auto"/>
      </w:divBdr>
      <w:divsChild>
        <w:div w:id="1447040138">
          <w:marLeft w:val="0"/>
          <w:marRight w:val="0"/>
          <w:marTop w:val="0"/>
          <w:marBottom w:val="0"/>
          <w:divBdr>
            <w:top w:val="none" w:sz="0" w:space="0" w:color="auto"/>
            <w:left w:val="none" w:sz="0" w:space="0" w:color="auto"/>
            <w:bottom w:val="none" w:sz="0" w:space="0" w:color="auto"/>
            <w:right w:val="none" w:sz="0" w:space="0" w:color="auto"/>
          </w:divBdr>
          <w:divsChild>
            <w:div w:id="145366403">
              <w:marLeft w:val="0"/>
              <w:marRight w:val="0"/>
              <w:marTop w:val="0"/>
              <w:marBottom w:val="0"/>
              <w:divBdr>
                <w:top w:val="none" w:sz="0" w:space="0" w:color="auto"/>
                <w:left w:val="none" w:sz="0" w:space="0" w:color="auto"/>
                <w:bottom w:val="none" w:sz="0" w:space="0" w:color="auto"/>
                <w:right w:val="none" w:sz="0" w:space="0" w:color="auto"/>
              </w:divBdr>
            </w:div>
            <w:div w:id="777913358">
              <w:marLeft w:val="0"/>
              <w:marRight w:val="0"/>
              <w:marTop w:val="0"/>
              <w:marBottom w:val="0"/>
              <w:divBdr>
                <w:top w:val="none" w:sz="0" w:space="0" w:color="auto"/>
                <w:left w:val="none" w:sz="0" w:space="0" w:color="auto"/>
                <w:bottom w:val="none" w:sz="0" w:space="0" w:color="auto"/>
                <w:right w:val="none" w:sz="0" w:space="0" w:color="auto"/>
              </w:divBdr>
            </w:div>
            <w:div w:id="58671668">
              <w:marLeft w:val="0"/>
              <w:marRight w:val="0"/>
              <w:marTop w:val="0"/>
              <w:marBottom w:val="0"/>
              <w:divBdr>
                <w:top w:val="none" w:sz="0" w:space="0" w:color="auto"/>
                <w:left w:val="none" w:sz="0" w:space="0" w:color="auto"/>
                <w:bottom w:val="none" w:sz="0" w:space="0" w:color="auto"/>
                <w:right w:val="none" w:sz="0" w:space="0" w:color="auto"/>
              </w:divBdr>
            </w:div>
            <w:div w:id="1666397626">
              <w:marLeft w:val="0"/>
              <w:marRight w:val="0"/>
              <w:marTop w:val="0"/>
              <w:marBottom w:val="0"/>
              <w:divBdr>
                <w:top w:val="none" w:sz="0" w:space="0" w:color="auto"/>
                <w:left w:val="none" w:sz="0" w:space="0" w:color="auto"/>
                <w:bottom w:val="none" w:sz="0" w:space="0" w:color="auto"/>
                <w:right w:val="none" w:sz="0" w:space="0" w:color="auto"/>
              </w:divBdr>
            </w:div>
            <w:div w:id="1214393741">
              <w:marLeft w:val="0"/>
              <w:marRight w:val="0"/>
              <w:marTop w:val="0"/>
              <w:marBottom w:val="0"/>
              <w:divBdr>
                <w:top w:val="none" w:sz="0" w:space="0" w:color="auto"/>
                <w:left w:val="none" w:sz="0" w:space="0" w:color="auto"/>
                <w:bottom w:val="none" w:sz="0" w:space="0" w:color="auto"/>
                <w:right w:val="none" w:sz="0" w:space="0" w:color="auto"/>
              </w:divBdr>
            </w:div>
            <w:div w:id="122818264">
              <w:marLeft w:val="0"/>
              <w:marRight w:val="0"/>
              <w:marTop w:val="0"/>
              <w:marBottom w:val="0"/>
              <w:divBdr>
                <w:top w:val="none" w:sz="0" w:space="0" w:color="auto"/>
                <w:left w:val="none" w:sz="0" w:space="0" w:color="auto"/>
                <w:bottom w:val="none" w:sz="0" w:space="0" w:color="auto"/>
                <w:right w:val="none" w:sz="0" w:space="0" w:color="auto"/>
              </w:divBdr>
            </w:div>
            <w:div w:id="82266466">
              <w:marLeft w:val="0"/>
              <w:marRight w:val="0"/>
              <w:marTop w:val="0"/>
              <w:marBottom w:val="0"/>
              <w:divBdr>
                <w:top w:val="none" w:sz="0" w:space="0" w:color="auto"/>
                <w:left w:val="none" w:sz="0" w:space="0" w:color="auto"/>
                <w:bottom w:val="none" w:sz="0" w:space="0" w:color="auto"/>
                <w:right w:val="none" w:sz="0" w:space="0" w:color="auto"/>
              </w:divBdr>
            </w:div>
            <w:div w:id="1072314257">
              <w:marLeft w:val="0"/>
              <w:marRight w:val="0"/>
              <w:marTop w:val="0"/>
              <w:marBottom w:val="0"/>
              <w:divBdr>
                <w:top w:val="none" w:sz="0" w:space="0" w:color="auto"/>
                <w:left w:val="none" w:sz="0" w:space="0" w:color="auto"/>
                <w:bottom w:val="none" w:sz="0" w:space="0" w:color="auto"/>
                <w:right w:val="none" w:sz="0" w:space="0" w:color="auto"/>
              </w:divBdr>
            </w:div>
            <w:div w:id="10811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68573">
      <w:bodyDiv w:val="1"/>
      <w:marLeft w:val="0"/>
      <w:marRight w:val="0"/>
      <w:marTop w:val="0"/>
      <w:marBottom w:val="0"/>
      <w:divBdr>
        <w:top w:val="none" w:sz="0" w:space="0" w:color="auto"/>
        <w:left w:val="none" w:sz="0" w:space="0" w:color="auto"/>
        <w:bottom w:val="none" w:sz="0" w:space="0" w:color="auto"/>
        <w:right w:val="none" w:sz="0" w:space="0" w:color="auto"/>
      </w:divBdr>
      <w:divsChild>
        <w:div w:id="462696231">
          <w:marLeft w:val="0"/>
          <w:marRight w:val="0"/>
          <w:marTop w:val="0"/>
          <w:marBottom w:val="0"/>
          <w:divBdr>
            <w:top w:val="none" w:sz="0" w:space="0" w:color="auto"/>
            <w:left w:val="none" w:sz="0" w:space="0" w:color="auto"/>
            <w:bottom w:val="none" w:sz="0" w:space="0" w:color="auto"/>
            <w:right w:val="none" w:sz="0" w:space="0" w:color="auto"/>
          </w:divBdr>
          <w:divsChild>
            <w:div w:id="660546717">
              <w:marLeft w:val="0"/>
              <w:marRight w:val="0"/>
              <w:marTop w:val="0"/>
              <w:marBottom w:val="0"/>
              <w:divBdr>
                <w:top w:val="none" w:sz="0" w:space="0" w:color="auto"/>
                <w:left w:val="none" w:sz="0" w:space="0" w:color="auto"/>
                <w:bottom w:val="none" w:sz="0" w:space="0" w:color="auto"/>
                <w:right w:val="none" w:sz="0" w:space="0" w:color="auto"/>
              </w:divBdr>
            </w:div>
            <w:div w:id="1050613125">
              <w:marLeft w:val="0"/>
              <w:marRight w:val="0"/>
              <w:marTop w:val="0"/>
              <w:marBottom w:val="0"/>
              <w:divBdr>
                <w:top w:val="none" w:sz="0" w:space="0" w:color="auto"/>
                <w:left w:val="none" w:sz="0" w:space="0" w:color="auto"/>
                <w:bottom w:val="none" w:sz="0" w:space="0" w:color="auto"/>
                <w:right w:val="none" w:sz="0" w:space="0" w:color="auto"/>
              </w:divBdr>
            </w:div>
            <w:div w:id="769737138">
              <w:marLeft w:val="0"/>
              <w:marRight w:val="0"/>
              <w:marTop w:val="0"/>
              <w:marBottom w:val="0"/>
              <w:divBdr>
                <w:top w:val="none" w:sz="0" w:space="0" w:color="auto"/>
                <w:left w:val="none" w:sz="0" w:space="0" w:color="auto"/>
                <w:bottom w:val="none" w:sz="0" w:space="0" w:color="auto"/>
                <w:right w:val="none" w:sz="0" w:space="0" w:color="auto"/>
              </w:divBdr>
            </w:div>
            <w:div w:id="1662344022">
              <w:marLeft w:val="0"/>
              <w:marRight w:val="0"/>
              <w:marTop w:val="0"/>
              <w:marBottom w:val="0"/>
              <w:divBdr>
                <w:top w:val="none" w:sz="0" w:space="0" w:color="auto"/>
                <w:left w:val="none" w:sz="0" w:space="0" w:color="auto"/>
                <w:bottom w:val="none" w:sz="0" w:space="0" w:color="auto"/>
                <w:right w:val="none" w:sz="0" w:space="0" w:color="auto"/>
              </w:divBdr>
            </w:div>
            <w:div w:id="367608350">
              <w:marLeft w:val="0"/>
              <w:marRight w:val="0"/>
              <w:marTop w:val="0"/>
              <w:marBottom w:val="0"/>
              <w:divBdr>
                <w:top w:val="none" w:sz="0" w:space="0" w:color="auto"/>
                <w:left w:val="none" w:sz="0" w:space="0" w:color="auto"/>
                <w:bottom w:val="none" w:sz="0" w:space="0" w:color="auto"/>
                <w:right w:val="none" w:sz="0" w:space="0" w:color="auto"/>
              </w:divBdr>
            </w:div>
            <w:div w:id="549267358">
              <w:marLeft w:val="0"/>
              <w:marRight w:val="0"/>
              <w:marTop w:val="0"/>
              <w:marBottom w:val="0"/>
              <w:divBdr>
                <w:top w:val="none" w:sz="0" w:space="0" w:color="auto"/>
                <w:left w:val="none" w:sz="0" w:space="0" w:color="auto"/>
                <w:bottom w:val="none" w:sz="0" w:space="0" w:color="auto"/>
                <w:right w:val="none" w:sz="0" w:space="0" w:color="auto"/>
              </w:divBdr>
            </w:div>
            <w:div w:id="1800875008">
              <w:marLeft w:val="0"/>
              <w:marRight w:val="0"/>
              <w:marTop w:val="0"/>
              <w:marBottom w:val="0"/>
              <w:divBdr>
                <w:top w:val="none" w:sz="0" w:space="0" w:color="auto"/>
                <w:left w:val="none" w:sz="0" w:space="0" w:color="auto"/>
                <w:bottom w:val="none" w:sz="0" w:space="0" w:color="auto"/>
                <w:right w:val="none" w:sz="0" w:space="0" w:color="auto"/>
              </w:divBdr>
            </w:div>
            <w:div w:id="363596546">
              <w:marLeft w:val="0"/>
              <w:marRight w:val="0"/>
              <w:marTop w:val="0"/>
              <w:marBottom w:val="0"/>
              <w:divBdr>
                <w:top w:val="none" w:sz="0" w:space="0" w:color="auto"/>
                <w:left w:val="none" w:sz="0" w:space="0" w:color="auto"/>
                <w:bottom w:val="none" w:sz="0" w:space="0" w:color="auto"/>
                <w:right w:val="none" w:sz="0" w:space="0" w:color="auto"/>
              </w:divBdr>
            </w:div>
            <w:div w:id="1729450901">
              <w:marLeft w:val="0"/>
              <w:marRight w:val="0"/>
              <w:marTop w:val="0"/>
              <w:marBottom w:val="0"/>
              <w:divBdr>
                <w:top w:val="none" w:sz="0" w:space="0" w:color="auto"/>
                <w:left w:val="none" w:sz="0" w:space="0" w:color="auto"/>
                <w:bottom w:val="none" w:sz="0" w:space="0" w:color="auto"/>
                <w:right w:val="none" w:sz="0" w:space="0" w:color="auto"/>
              </w:divBdr>
            </w:div>
            <w:div w:id="655260024">
              <w:marLeft w:val="0"/>
              <w:marRight w:val="0"/>
              <w:marTop w:val="0"/>
              <w:marBottom w:val="0"/>
              <w:divBdr>
                <w:top w:val="none" w:sz="0" w:space="0" w:color="auto"/>
                <w:left w:val="none" w:sz="0" w:space="0" w:color="auto"/>
                <w:bottom w:val="none" w:sz="0" w:space="0" w:color="auto"/>
                <w:right w:val="none" w:sz="0" w:space="0" w:color="auto"/>
              </w:divBdr>
            </w:div>
            <w:div w:id="2779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1533</Words>
  <Characters>8744</Characters>
  <Application>Microsoft Office Word</Application>
  <DocSecurity>0</DocSecurity>
  <Lines>72</Lines>
  <Paragraphs>20</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 Khan</dc:creator>
  <cp:keywords/>
  <dc:description/>
  <cp:lastModifiedBy>Ameen Khan</cp:lastModifiedBy>
  <cp:revision>3</cp:revision>
  <dcterms:created xsi:type="dcterms:W3CDTF">2025-07-29T09:30:00Z</dcterms:created>
  <dcterms:modified xsi:type="dcterms:W3CDTF">2025-07-29T10:12:00Z</dcterms:modified>
</cp:coreProperties>
</file>