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4AED12" w14:textId="77777777" w:rsidR="00BC3C2E" w:rsidRPr="00BC3C2E" w:rsidRDefault="00BC3C2E" w:rsidP="00BC3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BC3C2E">
        <w:rPr>
          <w:rFonts w:ascii="Times New Roman" w:eastAsia="Times New Roman" w:hAnsi="Times New Roman" w:cs="Times New Roman"/>
          <w:b/>
          <w:bCs/>
          <w:sz w:val="27"/>
          <w:szCs w:val="27"/>
          <w:lang w:eastAsia="en-IN"/>
        </w:rPr>
        <w:t>Sum Insured vs. Gross Premium by Scheme</w:t>
      </w:r>
    </w:p>
    <w:p w14:paraId="0E7576A0" w14:textId="77777777" w:rsidR="00BC3C2E" w:rsidRPr="00BC3C2E" w:rsidRDefault="00BC3C2E" w:rsidP="00BC3C2E">
      <w:p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sz w:val="24"/>
          <w:szCs w:val="24"/>
          <w:lang w:eastAsia="en-IN"/>
        </w:rPr>
        <w:t>This scatter plot provides a clear visual comparison of the two insurance schemes' financial footprints.</w:t>
      </w:r>
    </w:p>
    <w:p w14:paraId="4B549C9C" w14:textId="77777777" w:rsidR="00BC3C2E" w:rsidRPr="00BC3C2E" w:rsidRDefault="00BC3C2E" w:rsidP="00BC3C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Scale of Operation</w:t>
      </w:r>
      <w:r w:rsidRPr="00BC3C2E">
        <w:rPr>
          <w:rFonts w:ascii="Times New Roman" w:eastAsia="Times New Roman" w:hAnsi="Times New Roman" w:cs="Times New Roman"/>
          <w:sz w:val="24"/>
          <w:szCs w:val="24"/>
          <w:lang w:eastAsia="en-IN"/>
        </w:rPr>
        <w:t xml:space="preserve">: The </w:t>
      </w:r>
      <w:r w:rsidRPr="00BC3C2E">
        <w:rPr>
          <w:rFonts w:ascii="Times New Roman" w:eastAsia="Times New Roman" w:hAnsi="Times New Roman" w:cs="Times New Roman"/>
          <w:b/>
          <w:bCs/>
          <w:sz w:val="24"/>
          <w:szCs w:val="24"/>
          <w:lang w:eastAsia="en-IN"/>
        </w:rPr>
        <w:t>PMFBY</w:t>
      </w:r>
      <w:r w:rsidRPr="00BC3C2E">
        <w:rPr>
          <w:rFonts w:ascii="Times New Roman" w:eastAsia="Times New Roman" w:hAnsi="Times New Roman" w:cs="Times New Roman"/>
          <w:sz w:val="24"/>
          <w:szCs w:val="24"/>
          <w:lang w:eastAsia="en-IN"/>
        </w:rPr>
        <w:t xml:space="preserve"> points (red) dominate the plot, spanning the entire range from low to very high values of sum insured and premium.</w:t>
      </w:r>
    </w:p>
    <w:p w14:paraId="0808E744" w14:textId="77777777" w:rsidR="00BC3C2E" w:rsidRPr="00BC3C2E" w:rsidRDefault="00BC3C2E" w:rsidP="00BC3C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Niche Role of WBCIS</w:t>
      </w:r>
      <w:r w:rsidRPr="00BC3C2E">
        <w:rPr>
          <w:rFonts w:ascii="Times New Roman" w:eastAsia="Times New Roman" w:hAnsi="Times New Roman" w:cs="Times New Roman"/>
          <w:sz w:val="24"/>
          <w:szCs w:val="24"/>
          <w:lang w:eastAsia="en-IN"/>
        </w:rPr>
        <w:t xml:space="preserve">: The </w:t>
      </w:r>
      <w:r w:rsidRPr="00BC3C2E">
        <w:rPr>
          <w:rFonts w:ascii="Times New Roman" w:eastAsia="Times New Roman" w:hAnsi="Times New Roman" w:cs="Times New Roman"/>
          <w:b/>
          <w:bCs/>
          <w:sz w:val="24"/>
          <w:szCs w:val="24"/>
          <w:lang w:eastAsia="en-IN"/>
        </w:rPr>
        <w:t>WBCIS</w:t>
      </w:r>
      <w:r w:rsidRPr="00BC3C2E">
        <w:rPr>
          <w:rFonts w:ascii="Times New Roman" w:eastAsia="Times New Roman" w:hAnsi="Times New Roman" w:cs="Times New Roman"/>
          <w:sz w:val="24"/>
          <w:szCs w:val="24"/>
          <w:lang w:eastAsia="en-IN"/>
        </w:rPr>
        <w:t xml:space="preserve"> points (blue) are concentrated almost exclusively in the lower-left corner, indicating that this scheme is primarily used for lower-value insurance coverage.</w:t>
      </w:r>
    </w:p>
    <w:p w14:paraId="589CBFF8" w14:textId="77777777" w:rsidR="00BC3C2E" w:rsidRPr="00BC3C2E" w:rsidRDefault="00BC3C2E" w:rsidP="00BC3C2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Similar Pricing Structure</w:t>
      </w:r>
      <w:r w:rsidRPr="00BC3C2E">
        <w:rPr>
          <w:rFonts w:ascii="Times New Roman" w:eastAsia="Times New Roman" w:hAnsi="Times New Roman" w:cs="Times New Roman"/>
          <w:sz w:val="24"/>
          <w:szCs w:val="24"/>
          <w:lang w:eastAsia="en-IN"/>
        </w:rPr>
        <w:t>: Both schemes appear to follow the same general positive trend line, suggesting they share a similar pricing logic where the premium is a direct function of the sum insured.</w:t>
      </w:r>
    </w:p>
    <w:p w14:paraId="107D63A4" w14:textId="77777777" w:rsidR="00BC3C2E" w:rsidRPr="00BC3C2E" w:rsidRDefault="00BC3C2E" w:rsidP="00BC3C2E">
      <w:pPr>
        <w:spacing w:after="0"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sz w:val="24"/>
          <w:szCs w:val="24"/>
          <w:lang w:eastAsia="en-IN"/>
        </w:rPr>
        <w:pict w14:anchorId="367DA5B5">
          <v:rect id="_x0000_i1037" style="width:0;height:1.5pt" o:hralign="center" o:hrstd="t" o:hr="t" fillcolor="#a0a0a0" stroked="f"/>
        </w:pict>
      </w:r>
    </w:p>
    <w:p w14:paraId="35643630" w14:textId="77777777" w:rsidR="00BC3C2E" w:rsidRPr="00BC3C2E" w:rsidRDefault="00BC3C2E" w:rsidP="00BC3C2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C3C2E">
        <w:rPr>
          <w:rFonts w:ascii="Times New Roman" w:eastAsia="Times New Roman" w:hAnsi="Times New Roman" w:cs="Times New Roman"/>
          <w:b/>
          <w:bCs/>
          <w:sz w:val="27"/>
          <w:szCs w:val="27"/>
          <w:lang w:eastAsia="en-IN"/>
        </w:rPr>
        <w:t>Pairwise Relationships: Area, Sum Insured, and Premium</w:t>
      </w:r>
    </w:p>
    <w:p w14:paraId="607F9E56" w14:textId="77777777" w:rsidR="00BC3C2E" w:rsidRPr="00BC3C2E" w:rsidRDefault="00BC3C2E" w:rsidP="00BC3C2E">
      <w:p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sz w:val="24"/>
          <w:szCs w:val="24"/>
          <w:lang w:eastAsia="en-IN"/>
        </w:rPr>
        <w:t>The pair plot offers a compact summary of the interactions between the core metrics.</w:t>
      </w:r>
    </w:p>
    <w:p w14:paraId="1AEA2D59" w14:textId="77777777" w:rsidR="00BC3C2E" w:rsidRPr="00BC3C2E" w:rsidRDefault="00BC3C2E" w:rsidP="00BC3C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Skewed Distributions</w:t>
      </w:r>
      <w:r w:rsidRPr="00BC3C2E">
        <w:rPr>
          <w:rFonts w:ascii="Times New Roman" w:eastAsia="Times New Roman" w:hAnsi="Times New Roman" w:cs="Times New Roman"/>
          <w:sz w:val="24"/>
          <w:szCs w:val="24"/>
          <w:lang w:eastAsia="en-IN"/>
        </w:rPr>
        <w:t>: The plots on the diagonal confirm that all three variables—</w:t>
      </w:r>
      <w:proofErr w:type="spellStart"/>
      <w:r w:rsidRPr="00BC3C2E">
        <w:rPr>
          <w:rFonts w:ascii="Courier New" w:eastAsia="Times New Roman" w:hAnsi="Courier New" w:cs="Courier New"/>
          <w:b/>
          <w:bCs/>
          <w:sz w:val="20"/>
          <w:szCs w:val="20"/>
          <w:lang w:eastAsia="en-IN"/>
        </w:rPr>
        <w:t>area_insured</w:t>
      </w:r>
      <w:proofErr w:type="spellEnd"/>
      <w:r w:rsidRPr="00BC3C2E">
        <w:rPr>
          <w:rFonts w:ascii="Times New Roman" w:eastAsia="Times New Roman" w:hAnsi="Times New Roman" w:cs="Times New Roman"/>
          <w:sz w:val="24"/>
          <w:szCs w:val="24"/>
          <w:lang w:eastAsia="en-IN"/>
        </w:rPr>
        <w:t xml:space="preserve">, </w:t>
      </w:r>
      <w:proofErr w:type="spellStart"/>
      <w:r w:rsidRPr="00BC3C2E">
        <w:rPr>
          <w:rFonts w:ascii="Courier New" w:eastAsia="Times New Roman" w:hAnsi="Courier New" w:cs="Courier New"/>
          <w:b/>
          <w:bCs/>
          <w:sz w:val="20"/>
          <w:szCs w:val="20"/>
          <w:lang w:eastAsia="en-IN"/>
        </w:rPr>
        <w:t>sum_insured</w:t>
      </w:r>
      <w:proofErr w:type="spellEnd"/>
      <w:r w:rsidRPr="00BC3C2E">
        <w:rPr>
          <w:rFonts w:ascii="Times New Roman" w:eastAsia="Times New Roman" w:hAnsi="Times New Roman" w:cs="Times New Roman"/>
          <w:sz w:val="24"/>
          <w:szCs w:val="24"/>
          <w:lang w:eastAsia="en-IN"/>
        </w:rPr>
        <w:t xml:space="preserve">, and </w:t>
      </w:r>
      <w:proofErr w:type="spellStart"/>
      <w:r w:rsidRPr="00BC3C2E">
        <w:rPr>
          <w:rFonts w:ascii="Courier New" w:eastAsia="Times New Roman" w:hAnsi="Courier New" w:cs="Courier New"/>
          <w:b/>
          <w:bCs/>
          <w:sz w:val="20"/>
          <w:szCs w:val="20"/>
          <w:lang w:eastAsia="en-IN"/>
        </w:rPr>
        <w:t>gross_premium</w:t>
      </w:r>
      <w:proofErr w:type="spellEnd"/>
      <w:r w:rsidRPr="00BC3C2E">
        <w:rPr>
          <w:rFonts w:ascii="Times New Roman" w:eastAsia="Times New Roman" w:hAnsi="Times New Roman" w:cs="Times New Roman"/>
          <w:sz w:val="24"/>
          <w:szCs w:val="24"/>
          <w:lang w:eastAsia="en-IN"/>
        </w:rPr>
        <w:t xml:space="preserve">—are heavily </w:t>
      </w:r>
      <w:r w:rsidRPr="00BC3C2E">
        <w:rPr>
          <w:rFonts w:ascii="Times New Roman" w:eastAsia="Times New Roman" w:hAnsi="Times New Roman" w:cs="Times New Roman"/>
          <w:b/>
          <w:bCs/>
          <w:sz w:val="24"/>
          <w:szCs w:val="24"/>
          <w:lang w:eastAsia="en-IN"/>
        </w:rPr>
        <w:t>right-skewed</w:t>
      </w:r>
      <w:r w:rsidRPr="00BC3C2E">
        <w:rPr>
          <w:rFonts w:ascii="Times New Roman" w:eastAsia="Times New Roman" w:hAnsi="Times New Roman" w:cs="Times New Roman"/>
          <w:sz w:val="24"/>
          <w:szCs w:val="24"/>
          <w:lang w:eastAsia="en-IN"/>
        </w:rPr>
        <w:t>, with most entries having low values and a long tail of high-value outliers.</w:t>
      </w:r>
    </w:p>
    <w:p w14:paraId="24DA7C96" w14:textId="77777777" w:rsidR="00BC3C2E" w:rsidRPr="00BC3C2E" w:rsidRDefault="00BC3C2E" w:rsidP="00BC3C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Strongest Relationship</w:t>
      </w:r>
      <w:r w:rsidRPr="00BC3C2E">
        <w:rPr>
          <w:rFonts w:ascii="Times New Roman" w:eastAsia="Times New Roman" w:hAnsi="Times New Roman" w:cs="Times New Roman"/>
          <w:sz w:val="24"/>
          <w:szCs w:val="24"/>
          <w:lang w:eastAsia="en-IN"/>
        </w:rPr>
        <w:t xml:space="preserve">: The tightest and most linear relationship is between </w:t>
      </w:r>
      <w:proofErr w:type="spellStart"/>
      <w:r w:rsidRPr="00BC3C2E">
        <w:rPr>
          <w:rFonts w:ascii="Courier New" w:eastAsia="Times New Roman" w:hAnsi="Courier New" w:cs="Courier New"/>
          <w:b/>
          <w:bCs/>
          <w:sz w:val="20"/>
          <w:szCs w:val="20"/>
          <w:lang w:eastAsia="en-IN"/>
        </w:rPr>
        <w:t>sum_insured</w:t>
      </w:r>
      <w:proofErr w:type="spellEnd"/>
      <w:r w:rsidRPr="00BC3C2E">
        <w:rPr>
          <w:rFonts w:ascii="Times New Roman" w:eastAsia="Times New Roman" w:hAnsi="Times New Roman" w:cs="Times New Roman"/>
          <w:sz w:val="24"/>
          <w:szCs w:val="24"/>
          <w:lang w:eastAsia="en-IN"/>
        </w:rPr>
        <w:t xml:space="preserve"> and </w:t>
      </w:r>
      <w:proofErr w:type="spellStart"/>
      <w:r w:rsidRPr="00BC3C2E">
        <w:rPr>
          <w:rFonts w:ascii="Courier New" w:eastAsia="Times New Roman" w:hAnsi="Courier New" w:cs="Courier New"/>
          <w:b/>
          <w:bCs/>
          <w:sz w:val="20"/>
          <w:szCs w:val="20"/>
          <w:lang w:eastAsia="en-IN"/>
        </w:rPr>
        <w:t>gross_premium</w:t>
      </w:r>
      <w:proofErr w:type="spellEnd"/>
      <w:r w:rsidRPr="00BC3C2E">
        <w:rPr>
          <w:rFonts w:ascii="Times New Roman" w:eastAsia="Times New Roman" w:hAnsi="Times New Roman" w:cs="Times New Roman"/>
          <w:sz w:val="24"/>
          <w:szCs w:val="24"/>
          <w:lang w:eastAsia="en-IN"/>
        </w:rPr>
        <w:t>, reinforcing that premium is closely tied to the insured value.</w:t>
      </w:r>
    </w:p>
    <w:p w14:paraId="6CEA4461" w14:textId="77777777" w:rsidR="00BC3C2E" w:rsidRPr="00BC3C2E" w:rsidRDefault="00BC3C2E" w:rsidP="00BC3C2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C3C2E">
        <w:rPr>
          <w:rFonts w:ascii="Times New Roman" w:eastAsia="Times New Roman" w:hAnsi="Times New Roman" w:cs="Times New Roman"/>
          <w:b/>
          <w:bCs/>
          <w:sz w:val="24"/>
          <w:szCs w:val="24"/>
          <w:lang w:eastAsia="en-IN"/>
        </w:rPr>
        <w:t>Weaker Relationship with Area</w:t>
      </w:r>
      <w:r w:rsidRPr="00BC3C2E">
        <w:rPr>
          <w:rFonts w:ascii="Times New Roman" w:eastAsia="Times New Roman" w:hAnsi="Times New Roman" w:cs="Times New Roman"/>
          <w:sz w:val="24"/>
          <w:szCs w:val="24"/>
          <w:lang w:eastAsia="en-IN"/>
        </w:rPr>
        <w:t xml:space="preserve">: The relationships involving </w:t>
      </w:r>
      <w:proofErr w:type="spellStart"/>
      <w:r w:rsidRPr="00BC3C2E">
        <w:rPr>
          <w:rFonts w:ascii="Courier New" w:eastAsia="Times New Roman" w:hAnsi="Courier New" w:cs="Courier New"/>
          <w:b/>
          <w:bCs/>
          <w:sz w:val="20"/>
          <w:szCs w:val="20"/>
          <w:lang w:eastAsia="en-IN"/>
        </w:rPr>
        <w:t>area_insured</w:t>
      </w:r>
      <w:proofErr w:type="spellEnd"/>
      <w:r w:rsidRPr="00BC3C2E">
        <w:rPr>
          <w:rFonts w:ascii="Times New Roman" w:eastAsia="Times New Roman" w:hAnsi="Times New Roman" w:cs="Times New Roman"/>
          <w:sz w:val="24"/>
          <w:szCs w:val="24"/>
          <w:lang w:eastAsia="en-IN"/>
        </w:rPr>
        <w:t xml:space="preserve"> are much more scattered. This indicates that while </w:t>
      </w:r>
      <w:proofErr w:type="gramStart"/>
      <w:r w:rsidRPr="00BC3C2E">
        <w:rPr>
          <w:rFonts w:ascii="Times New Roman" w:eastAsia="Times New Roman" w:hAnsi="Times New Roman" w:cs="Times New Roman"/>
          <w:sz w:val="24"/>
          <w:szCs w:val="24"/>
          <w:lang w:eastAsia="en-IN"/>
        </w:rPr>
        <w:t>insuring</w:t>
      </w:r>
      <w:proofErr w:type="gramEnd"/>
      <w:r w:rsidRPr="00BC3C2E">
        <w:rPr>
          <w:rFonts w:ascii="Times New Roman" w:eastAsia="Times New Roman" w:hAnsi="Times New Roman" w:cs="Times New Roman"/>
          <w:sz w:val="24"/>
          <w:szCs w:val="24"/>
          <w:lang w:eastAsia="en-IN"/>
        </w:rPr>
        <w:t xml:space="preserve"> more land generally leads to a higher sum insured and premium, the physical area is a less reliable predictor than the financial value of the crop.</w:t>
      </w:r>
    </w:p>
    <w:p w14:paraId="3DDFAD1D" w14:textId="401337C3" w:rsidR="00BC3C2E" w:rsidRDefault="00BC3C2E"/>
    <w:p w14:paraId="333543FD" w14:textId="77777777" w:rsidR="00E44B7E" w:rsidRPr="00E44B7E" w:rsidRDefault="00E44B7E" w:rsidP="00E44B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7E">
        <w:rPr>
          <w:rFonts w:ascii="Times New Roman" w:eastAsia="Times New Roman" w:hAnsi="Times New Roman" w:cs="Times New Roman"/>
          <w:b/>
          <w:bCs/>
          <w:sz w:val="27"/>
          <w:szCs w:val="27"/>
          <w:lang w:eastAsia="en-IN"/>
        </w:rPr>
        <w:t>Total Policies vs. Area Insured by Season</w:t>
      </w:r>
    </w:p>
    <w:p w14:paraId="1D7E1CB3" w14:textId="77777777" w:rsidR="00E44B7E" w:rsidRPr="00E44B7E" w:rsidRDefault="00E44B7E" w:rsidP="00E44B7E">
      <w:p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sz w:val="24"/>
          <w:szCs w:val="24"/>
          <w:lang w:eastAsia="en-IN"/>
        </w:rPr>
        <w:t xml:space="preserve">The scatter plot shows that the relationship between the total number of policies and the area insured is </w:t>
      </w:r>
    </w:p>
    <w:p w14:paraId="0A1FC610" w14:textId="77777777" w:rsidR="00E44B7E" w:rsidRPr="00E44B7E" w:rsidRDefault="00E44B7E" w:rsidP="00E44B7E">
      <w:p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b/>
          <w:bCs/>
          <w:sz w:val="24"/>
          <w:szCs w:val="24"/>
          <w:lang w:eastAsia="en-IN"/>
        </w:rPr>
        <w:t>consistent across both the Kharif and Rabi seasons</w:t>
      </w:r>
      <w:r w:rsidRPr="00E44B7E">
        <w:rPr>
          <w:rFonts w:ascii="Times New Roman" w:eastAsia="Times New Roman" w:hAnsi="Times New Roman" w:cs="Times New Roman"/>
          <w:sz w:val="24"/>
          <w:szCs w:val="24"/>
          <w:lang w:eastAsia="en-IN"/>
        </w:rPr>
        <w:t>. The data points for both seasons are intermingled, and there is no distinct pattern or clustering for either one. This confirms that the weak, variable connection between policy count and insured area is a fundamental characteristic of the schemes, regardless of the season.</w:t>
      </w:r>
    </w:p>
    <w:p w14:paraId="7FFE0EC7" w14:textId="77777777" w:rsidR="00E44B7E" w:rsidRPr="00E44B7E" w:rsidRDefault="00E44B7E" w:rsidP="00E44B7E">
      <w:pPr>
        <w:spacing w:after="0"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sz w:val="24"/>
          <w:szCs w:val="24"/>
          <w:lang w:eastAsia="en-IN"/>
        </w:rPr>
        <w:pict w14:anchorId="2AD47265">
          <v:rect id="_x0000_i1039" style="width:0;height:1.5pt" o:hralign="center" o:hrstd="t" o:hr="t" fillcolor="#a0a0a0" stroked="f"/>
        </w:pict>
      </w:r>
    </w:p>
    <w:p w14:paraId="5089E69F" w14:textId="77777777" w:rsidR="00E44B7E" w:rsidRPr="00E44B7E" w:rsidRDefault="00E44B7E" w:rsidP="00E44B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44B7E">
        <w:rPr>
          <w:rFonts w:ascii="Times New Roman" w:eastAsia="Times New Roman" w:hAnsi="Times New Roman" w:cs="Times New Roman"/>
          <w:b/>
          <w:bCs/>
          <w:sz w:val="27"/>
          <w:szCs w:val="27"/>
          <w:lang w:eastAsia="en-IN"/>
        </w:rPr>
        <w:t>Premium Contribution by Scheme</w:t>
      </w:r>
    </w:p>
    <w:p w14:paraId="55614531" w14:textId="77777777" w:rsidR="00E44B7E" w:rsidRPr="00E44B7E" w:rsidRDefault="00E44B7E" w:rsidP="00E44B7E">
      <w:p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sz w:val="24"/>
          <w:szCs w:val="24"/>
          <w:lang w:eastAsia="en-IN"/>
        </w:rPr>
        <w:t>The bar charts reveal the subsidy structure of the two schemes and the financial burden on each contributor.</w:t>
      </w:r>
    </w:p>
    <w:p w14:paraId="0FA84411" w14:textId="77777777" w:rsidR="00E44B7E" w:rsidRPr="00E44B7E" w:rsidRDefault="00E44B7E" w:rsidP="00E44B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b/>
          <w:bCs/>
          <w:sz w:val="24"/>
          <w:szCs w:val="24"/>
          <w:lang w:eastAsia="en-IN"/>
        </w:rPr>
        <w:lastRenderedPageBreak/>
        <w:t>Higher Absolute Premiums in PMFBY</w:t>
      </w:r>
      <w:r w:rsidRPr="00E44B7E">
        <w:rPr>
          <w:rFonts w:ascii="Times New Roman" w:eastAsia="Times New Roman" w:hAnsi="Times New Roman" w:cs="Times New Roman"/>
          <w:sz w:val="24"/>
          <w:szCs w:val="24"/>
          <w:lang w:eastAsia="en-IN"/>
        </w:rPr>
        <w:t>: On average, the total premium per record is substantially higher under the PMFBY scheme compared to the WBCIS scheme.</w:t>
      </w:r>
    </w:p>
    <w:p w14:paraId="4547FCCB" w14:textId="77777777" w:rsidR="00E44B7E" w:rsidRPr="00E44B7E" w:rsidRDefault="00E44B7E" w:rsidP="00E44B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b/>
          <w:bCs/>
          <w:sz w:val="24"/>
          <w:szCs w:val="24"/>
          <w:lang w:eastAsia="en-IN"/>
        </w:rPr>
        <w:t>Heavy Government Subsidy</w:t>
      </w:r>
      <w:r w:rsidRPr="00E44B7E">
        <w:rPr>
          <w:rFonts w:ascii="Times New Roman" w:eastAsia="Times New Roman" w:hAnsi="Times New Roman" w:cs="Times New Roman"/>
          <w:sz w:val="24"/>
          <w:szCs w:val="24"/>
          <w:lang w:eastAsia="en-IN"/>
        </w:rPr>
        <w:t xml:space="preserve">: Both schemes are heavily subsidized. For both PMFBY and WBCIS, the </w:t>
      </w:r>
    </w:p>
    <w:p w14:paraId="75B9CF8F" w14:textId="77777777" w:rsidR="00E44B7E" w:rsidRPr="00E44B7E" w:rsidRDefault="00E44B7E" w:rsidP="00E44B7E">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44B7E">
        <w:rPr>
          <w:rFonts w:ascii="Times New Roman" w:eastAsia="Times New Roman" w:hAnsi="Times New Roman" w:cs="Times New Roman"/>
          <w:b/>
          <w:bCs/>
          <w:sz w:val="24"/>
          <w:szCs w:val="24"/>
          <w:lang w:eastAsia="en-IN"/>
        </w:rPr>
        <w:t>state government (</w:t>
      </w:r>
      <w:proofErr w:type="spellStart"/>
      <w:r w:rsidRPr="00E44B7E">
        <w:rPr>
          <w:rFonts w:ascii="Courier New" w:eastAsia="Times New Roman" w:hAnsi="Courier New" w:cs="Courier New"/>
          <w:b/>
          <w:bCs/>
          <w:sz w:val="20"/>
          <w:szCs w:val="20"/>
          <w:lang w:eastAsia="en-IN"/>
        </w:rPr>
        <w:t>state_share</w:t>
      </w:r>
      <w:proofErr w:type="spellEnd"/>
      <w:r w:rsidRPr="00E44B7E">
        <w:rPr>
          <w:rFonts w:ascii="Times New Roman" w:eastAsia="Times New Roman" w:hAnsi="Times New Roman" w:cs="Times New Roman"/>
          <w:b/>
          <w:bCs/>
          <w:sz w:val="24"/>
          <w:szCs w:val="24"/>
          <w:lang w:eastAsia="en-IN"/>
        </w:rPr>
        <w:t>) is the single largest contributor</w:t>
      </w:r>
      <w:r w:rsidRPr="00E44B7E">
        <w:rPr>
          <w:rFonts w:ascii="Times New Roman" w:eastAsia="Times New Roman" w:hAnsi="Times New Roman" w:cs="Times New Roman"/>
          <w:sz w:val="24"/>
          <w:szCs w:val="24"/>
          <w:lang w:eastAsia="en-IN"/>
        </w:rPr>
        <w:t xml:space="preserve"> to the premium, followed closely by the central government (</w:t>
      </w:r>
      <w:proofErr w:type="spellStart"/>
      <w:r w:rsidRPr="00E44B7E">
        <w:rPr>
          <w:rFonts w:ascii="Courier New" w:eastAsia="Times New Roman" w:hAnsi="Courier New" w:cs="Courier New"/>
          <w:sz w:val="20"/>
          <w:szCs w:val="20"/>
          <w:lang w:eastAsia="en-IN"/>
        </w:rPr>
        <w:t>goi_share</w:t>
      </w:r>
      <w:proofErr w:type="spellEnd"/>
      <w:r w:rsidRPr="00E44B7E">
        <w:rPr>
          <w:rFonts w:ascii="Times New Roman" w:eastAsia="Times New Roman" w:hAnsi="Times New Roman" w:cs="Times New Roman"/>
          <w:sz w:val="24"/>
          <w:szCs w:val="24"/>
          <w:lang w:eastAsia="en-IN"/>
        </w:rPr>
        <w:t>). Farmers consistently contribute the smallest portion.</w:t>
      </w:r>
    </w:p>
    <w:p w14:paraId="745C9CA7" w14:textId="77777777" w:rsidR="00E44B7E" w:rsidRPr="00E44B7E" w:rsidRDefault="00E44B7E" w:rsidP="00E44B7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44B7E">
        <w:rPr>
          <w:rFonts w:ascii="Times New Roman" w:eastAsia="Times New Roman" w:hAnsi="Times New Roman" w:cs="Times New Roman"/>
          <w:b/>
          <w:bCs/>
          <w:sz w:val="24"/>
          <w:szCs w:val="24"/>
          <w:lang w:eastAsia="en-IN"/>
        </w:rPr>
        <w:t>Proportional Farmer Burden</w:t>
      </w:r>
      <w:r w:rsidRPr="00E44B7E">
        <w:rPr>
          <w:rFonts w:ascii="Times New Roman" w:eastAsia="Times New Roman" w:hAnsi="Times New Roman" w:cs="Times New Roman"/>
          <w:sz w:val="24"/>
          <w:szCs w:val="24"/>
          <w:lang w:eastAsia="en-IN"/>
        </w:rPr>
        <w:t xml:space="preserve">: While the absolute premium is lower for WBCIS, the </w:t>
      </w:r>
      <w:r w:rsidRPr="00E44B7E">
        <w:rPr>
          <w:rFonts w:ascii="Times New Roman" w:eastAsia="Times New Roman" w:hAnsi="Times New Roman" w:cs="Times New Roman"/>
          <w:b/>
          <w:bCs/>
          <w:sz w:val="24"/>
          <w:szCs w:val="24"/>
          <w:lang w:eastAsia="en-IN"/>
        </w:rPr>
        <w:t>farmer's share is proportionally higher under WBCIS (around 19%)</w:t>
      </w:r>
      <w:r w:rsidRPr="00E44B7E">
        <w:rPr>
          <w:rFonts w:ascii="Times New Roman" w:eastAsia="Times New Roman" w:hAnsi="Times New Roman" w:cs="Times New Roman"/>
          <w:sz w:val="24"/>
          <w:szCs w:val="24"/>
          <w:lang w:eastAsia="en-IN"/>
        </w:rPr>
        <w:t xml:space="preserve"> compared to PMFBY (around 14%). This indicates that farmers bear a relatively larger percentage of the premium cost under the WBCIS scheme.</w:t>
      </w:r>
    </w:p>
    <w:p w14:paraId="3C4F01EA" w14:textId="1FF2AEAD" w:rsidR="00E44B7E" w:rsidRDefault="00E44B7E"/>
    <w:p w14:paraId="3C23EE00" w14:textId="496E56F5" w:rsidR="00E44B7E" w:rsidRDefault="00E44B7E"/>
    <w:p w14:paraId="3B4D78D9" w14:textId="77777777" w:rsidR="00911432" w:rsidRPr="00911432" w:rsidRDefault="00911432" w:rsidP="009114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1432">
        <w:rPr>
          <w:rFonts w:ascii="Times New Roman" w:eastAsia="Times New Roman" w:hAnsi="Times New Roman" w:cs="Times New Roman"/>
          <w:b/>
          <w:bCs/>
          <w:sz w:val="27"/>
          <w:szCs w:val="27"/>
          <w:lang w:eastAsia="en-IN"/>
        </w:rPr>
        <w:t>Policy Volume by Gender Composition</w:t>
      </w:r>
    </w:p>
    <w:p w14:paraId="2621F314" w14:textId="77777777" w:rsidR="00911432" w:rsidRPr="00911432" w:rsidRDefault="00911432" w:rsidP="00911432">
      <w:p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t xml:space="preserve">The heatmap clearly illustrates that the highest volume of insurance policies is concentrated in districts with a </w:t>
      </w:r>
    </w:p>
    <w:p w14:paraId="7F76FC5C" w14:textId="77777777" w:rsidR="00911432" w:rsidRPr="00911432" w:rsidRDefault="00911432" w:rsidP="00911432">
      <w:p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b/>
          <w:bCs/>
          <w:sz w:val="24"/>
          <w:szCs w:val="24"/>
          <w:lang w:eastAsia="en-IN"/>
        </w:rPr>
        <w:t>high male-to-female farmer ratio</w:t>
      </w:r>
      <w:r w:rsidRPr="00911432">
        <w:rPr>
          <w:rFonts w:ascii="Times New Roman" w:eastAsia="Times New Roman" w:hAnsi="Times New Roman" w:cs="Times New Roman"/>
          <w:sz w:val="24"/>
          <w:szCs w:val="24"/>
          <w:lang w:eastAsia="en-IN"/>
        </w:rPr>
        <w:t>.</w:t>
      </w:r>
    </w:p>
    <w:p w14:paraId="12BC5B2C" w14:textId="77777777" w:rsidR="00911432" w:rsidRPr="00911432" w:rsidRDefault="00911432" w:rsidP="00911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t>The single darkest cell, representing the highest number of policies (</w:t>
      </w:r>
    </w:p>
    <w:p w14:paraId="5F02634D" w14:textId="77777777" w:rsidR="00911432" w:rsidRPr="00911432" w:rsidRDefault="00911432" w:rsidP="0091143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11432">
        <w:rPr>
          <w:rFonts w:ascii="Times New Roman" w:eastAsia="Times New Roman" w:hAnsi="Times New Roman" w:cs="Times New Roman"/>
          <w:b/>
          <w:bCs/>
          <w:sz w:val="24"/>
          <w:szCs w:val="24"/>
          <w:lang w:eastAsia="en-IN"/>
        </w:rPr>
        <w:t>427,860</w:t>
      </w:r>
      <w:r w:rsidRPr="00911432">
        <w:rPr>
          <w:rFonts w:ascii="Times New Roman" w:eastAsia="Times New Roman" w:hAnsi="Times New Roman" w:cs="Times New Roman"/>
          <w:sz w:val="24"/>
          <w:szCs w:val="24"/>
          <w:lang w:eastAsia="en-IN"/>
        </w:rPr>
        <w:t xml:space="preserve">), corresponds to a demographic makeup of </w:t>
      </w:r>
      <w:r w:rsidRPr="00911432">
        <w:rPr>
          <w:rFonts w:ascii="Times New Roman" w:eastAsia="Times New Roman" w:hAnsi="Times New Roman" w:cs="Times New Roman"/>
          <w:b/>
          <w:bCs/>
          <w:sz w:val="24"/>
          <w:szCs w:val="24"/>
          <w:lang w:eastAsia="en-IN"/>
        </w:rPr>
        <w:t>80-85% male farmers</w:t>
      </w:r>
      <w:r w:rsidRPr="00911432">
        <w:rPr>
          <w:rFonts w:ascii="Times New Roman" w:eastAsia="Times New Roman" w:hAnsi="Times New Roman" w:cs="Times New Roman"/>
          <w:sz w:val="24"/>
          <w:szCs w:val="24"/>
          <w:lang w:eastAsia="en-IN"/>
        </w:rPr>
        <w:t xml:space="preserve"> and </w:t>
      </w:r>
      <w:r w:rsidRPr="00911432">
        <w:rPr>
          <w:rFonts w:ascii="Times New Roman" w:eastAsia="Times New Roman" w:hAnsi="Times New Roman" w:cs="Times New Roman"/>
          <w:b/>
          <w:bCs/>
          <w:sz w:val="24"/>
          <w:szCs w:val="24"/>
          <w:lang w:eastAsia="en-IN"/>
        </w:rPr>
        <w:t>10-15% female farmers</w:t>
      </w:r>
      <w:r w:rsidRPr="00911432">
        <w:rPr>
          <w:rFonts w:ascii="Times New Roman" w:eastAsia="Times New Roman" w:hAnsi="Times New Roman" w:cs="Times New Roman"/>
          <w:sz w:val="24"/>
          <w:szCs w:val="24"/>
          <w:lang w:eastAsia="en-IN"/>
        </w:rPr>
        <w:t>.</w:t>
      </w:r>
    </w:p>
    <w:p w14:paraId="79A86346" w14:textId="77777777" w:rsidR="00911432" w:rsidRPr="00911432" w:rsidRDefault="00911432" w:rsidP="0091143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11432">
        <w:rPr>
          <w:rFonts w:ascii="Times New Roman" w:eastAsia="Times New Roman" w:hAnsi="Times New Roman" w:cs="Times New Roman"/>
          <w:sz w:val="24"/>
          <w:szCs w:val="24"/>
          <w:lang w:eastAsia="en-IN"/>
        </w:rPr>
        <w:t>Neighboring</w:t>
      </w:r>
      <w:proofErr w:type="spellEnd"/>
      <w:r w:rsidRPr="00911432">
        <w:rPr>
          <w:rFonts w:ascii="Times New Roman" w:eastAsia="Times New Roman" w:hAnsi="Times New Roman" w:cs="Times New Roman"/>
          <w:sz w:val="24"/>
          <w:szCs w:val="24"/>
          <w:lang w:eastAsia="en-IN"/>
        </w:rPr>
        <w:t xml:space="preserve"> cells with high male (75-95%) and low female (5-20%) participation also show significant policy counts. This visualization confirms that the bulk of the scheme's activity occurs in regions with a pronounced gender skew towards male farmers.</w:t>
      </w:r>
    </w:p>
    <w:p w14:paraId="4BF5809F" w14:textId="77777777" w:rsidR="00911432" w:rsidRPr="00911432" w:rsidRDefault="00911432" w:rsidP="00911432">
      <w:pPr>
        <w:spacing w:after="0"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pict w14:anchorId="6EDD4FDB">
          <v:rect id="_x0000_i1041" style="width:0;height:1.5pt" o:hralign="center" o:hrstd="t" o:hr="t" fillcolor="#a0a0a0" stroked="f"/>
        </w:pict>
      </w:r>
    </w:p>
    <w:p w14:paraId="245427E9" w14:textId="77777777" w:rsidR="00911432" w:rsidRPr="00911432" w:rsidRDefault="00911432" w:rsidP="0091143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11432">
        <w:rPr>
          <w:rFonts w:ascii="Times New Roman" w:eastAsia="Times New Roman" w:hAnsi="Times New Roman" w:cs="Times New Roman"/>
          <w:b/>
          <w:bCs/>
          <w:sz w:val="27"/>
          <w:szCs w:val="27"/>
          <w:lang w:eastAsia="en-IN"/>
        </w:rPr>
        <w:t>Land Coverage by Farmer Size</w:t>
      </w:r>
    </w:p>
    <w:p w14:paraId="4B8BC872" w14:textId="77777777" w:rsidR="00911432" w:rsidRPr="00911432" w:rsidRDefault="00911432" w:rsidP="00911432">
      <w:p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t>This scatter plot reveals two key insights into the relationship between farmer size and insured area:</w:t>
      </w:r>
    </w:p>
    <w:p w14:paraId="4C959D19" w14:textId="77777777" w:rsidR="00911432" w:rsidRPr="00911432" w:rsidRDefault="00911432" w:rsidP="00911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t xml:space="preserve">There is </w:t>
      </w:r>
    </w:p>
    <w:p w14:paraId="22B8A033" w14:textId="77777777" w:rsidR="00911432" w:rsidRPr="00911432" w:rsidRDefault="00911432" w:rsidP="0091143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11432">
        <w:rPr>
          <w:rFonts w:ascii="Times New Roman" w:eastAsia="Times New Roman" w:hAnsi="Times New Roman" w:cs="Times New Roman"/>
          <w:b/>
          <w:bCs/>
          <w:sz w:val="24"/>
          <w:szCs w:val="24"/>
          <w:lang w:eastAsia="en-IN"/>
        </w:rPr>
        <w:t>no clear correlation</w:t>
      </w:r>
      <w:r w:rsidRPr="00911432">
        <w:rPr>
          <w:rFonts w:ascii="Times New Roman" w:eastAsia="Times New Roman" w:hAnsi="Times New Roman" w:cs="Times New Roman"/>
          <w:sz w:val="24"/>
          <w:szCs w:val="24"/>
          <w:lang w:eastAsia="en-IN"/>
        </w:rPr>
        <w:t xml:space="preserve"> between the percentage of small farmers and the total area insured. For any given percentage of small farmers, the area insured varies widely, reinforcing the "vulnerable farmer paradox."</w:t>
      </w:r>
    </w:p>
    <w:p w14:paraId="1FE68F62" w14:textId="77777777" w:rsidR="00911432" w:rsidRPr="00911432" w:rsidRDefault="00911432" w:rsidP="0091143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911432">
        <w:rPr>
          <w:rFonts w:ascii="Times New Roman" w:eastAsia="Times New Roman" w:hAnsi="Times New Roman" w:cs="Times New Roman"/>
          <w:sz w:val="24"/>
          <w:szCs w:val="24"/>
          <w:lang w:eastAsia="en-IN"/>
        </w:rPr>
        <w:t xml:space="preserve">The </w:t>
      </w:r>
      <w:proofErr w:type="spellStart"/>
      <w:r w:rsidRPr="00911432">
        <w:rPr>
          <w:rFonts w:ascii="Times New Roman" w:eastAsia="Times New Roman" w:hAnsi="Times New Roman" w:cs="Times New Roman"/>
          <w:sz w:val="24"/>
          <w:szCs w:val="24"/>
          <w:lang w:eastAsia="en-IN"/>
        </w:rPr>
        <w:t>color</w:t>
      </w:r>
      <w:proofErr w:type="spellEnd"/>
      <w:r w:rsidRPr="00911432">
        <w:rPr>
          <w:rFonts w:ascii="Times New Roman" w:eastAsia="Times New Roman" w:hAnsi="Times New Roman" w:cs="Times New Roman"/>
          <w:sz w:val="24"/>
          <w:szCs w:val="24"/>
          <w:lang w:eastAsia="en-IN"/>
        </w:rPr>
        <w:t xml:space="preserve"> gradient shows a strong </w:t>
      </w:r>
    </w:p>
    <w:p w14:paraId="6B1767AF" w14:textId="77777777" w:rsidR="00911432" w:rsidRPr="00911432" w:rsidRDefault="00911432" w:rsidP="00911432">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911432">
        <w:rPr>
          <w:rFonts w:ascii="Times New Roman" w:eastAsia="Times New Roman" w:hAnsi="Times New Roman" w:cs="Times New Roman"/>
          <w:b/>
          <w:bCs/>
          <w:sz w:val="24"/>
          <w:szCs w:val="24"/>
          <w:lang w:eastAsia="en-IN"/>
        </w:rPr>
        <w:lastRenderedPageBreak/>
        <w:t>inverse relationship</w:t>
      </w:r>
      <w:r w:rsidRPr="00911432">
        <w:rPr>
          <w:rFonts w:ascii="Times New Roman" w:eastAsia="Times New Roman" w:hAnsi="Times New Roman" w:cs="Times New Roman"/>
          <w:sz w:val="24"/>
          <w:szCs w:val="24"/>
          <w:lang w:eastAsia="en-IN"/>
        </w:rPr>
        <w:t xml:space="preserve"> between the share of marginal and small farmers. Data points with a high percentage of marginal farmers (red) are clustered on the left where the share of small farmers is low. Conversely, areas with a low percentage of marginal farmers (blue) are found where the share of small farmers is high. This visually confirms the compositional effect between these two farmer categories.</w:t>
      </w:r>
    </w:p>
    <w:p w14:paraId="290AD07E" w14:textId="7BF1908B" w:rsidR="00E44B7E" w:rsidRDefault="00E44B7E"/>
    <w:p w14:paraId="7D431AF4" w14:textId="126E0997" w:rsidR="00911432" w:rsidRDefault="00911432"/>
    <w:p w14:paraId="28735C94" w14:textId="77777777" w:rsidR="00734934" w:rsidRPr="00734934" w:rsidRDefault="00734934" w:rsidP="007349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934">
        <w:rPr>
          <w:rFonts w:ascii="Times New Roman" w:eastAsia="Times New Roman" w:hAnsi="Times New Roman" w:cs="Times New Roman"/>
          <w:b/>
          <w:bCs/>
          <w:sz w:val="27"/>
          <w:szCs w:val="27"/>
          <w:lang w:eastAsia="en-IN"/>
        </w:rPr>
        <w:t>Scheme Performance Across Seasons</w:t>
      </w:r>
    </w:p>
    <w:p w14:paraId="6CB372DA" w14:textId="77777777" w:rsidR="00734934" w:rsidRPr="00734934" w:rsidRDefault="00734934" w:rsidP="00734934">
      <w:p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sz w:val="24"/>
          <w:szCs w:val="24"/>
          <w:lang w:eastAsia="en-IN"/>
        </w:rPr>
        <w:t>The analysis shows a consistent pattern of scheme dominance and seasonal influence on the average insured value.</w:t>
      </w:r>
    </w:p>
    <w:p w14:paraId="3B4A1446" w14:textId="77777777" w:rsidR="00734934" w:rsidRPr="00734934" w:rsidRDefault="00734934" w:rsidP="007349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PMFBY Dominance</w:t>
      </w:r>
      <w:r w:rsidRPr="00734934">
        <w:rPr>
          <w:rFonts w:ascii="Times New Roman" w:eastAsia="Times New Roman" w:hAnsi="Times New Roman" w:cs="Times New Roman"/>
          <w:sz w:val="24"/>
          <w:szCs w:val="24"/>
          <w:lang w:eastAsia="en-IN"/>
        </w:rPr>
        <w:t xml:space="preserve">: The </w:t>
      </w:r>
      <w:r w:rsidRPr="00734934">
        <w:rPr>
          <w:rFonts w:ascii="Times New Roman" w:eastAsia="Times New Roman" w:hAnsi="Times New Roman" w:cs="Times New Roman"/>
          <w:b/>
          <w:bCs/>
          <w:sz w:val="24"/>
          <w:szCs w:val="24"/>
          <w:lang w:eastAsia="en-IN"/>
        </w:rPr>
        <w:t>PMFBY</w:t>
      </w:r>
      <w:r w:rsidRPr="00734934">
        <w:rPr>
          <w:rFonts w:ascii="Times New Roman" w:eastAsia="Times New Roman" w:hAnsi="Times New Roman" w:cs="Times New Roman"/>
          <w:sz w:val="24"/>
          <w:szCs w:val="24"/>
          <w:lang w:eastAsia="en-IN"/>
        </w:rPr>
        <w:t xml:space="preserve"> scheme consistently handles a significantly higher average financial value per record than the </w:t>
      </w:r>
      <w:r w:rsidRPr="00734934">
        <w:rPr>
          <w:rFonts w:ascii="Times New Roman" w:eastAsia="Times New Roman" w:hAnsi="Times New Roman" w:cs="Times New Roman"/>
          <w:b/>
          <w:bCs/>
          <w:sz w:val="24"/>
          <w:szCs w:val="24"/>
          <w:lang w:eastAsia="en-IN"/>
        </w:rPr>
        <w:t>WBCIS</w:t>
      </w:r>
      <w:r w:rsidRPr="00734934">
        <w:rPr>
          <w:rFonts w:ascii="Times New Roman" w:eastAsia="Times New Roman" w:hAnsi="Times New Roman" w:cs="Times New Roman"/>
          <w:sz w:val="24"/>
          <w:szCs w:val="24"/>
          <w:lang w:eastAsia="en-IN"/>
        </w:rPr>
        <w:t xml:space="preserve"> scheme in both the </w:t>
      </w:r>
      <w:r w:rsidRPr="00734934">
        <w:rPr>
          <w:rFonts w:ascii="Times New Roman" w:eastAsia="Times New Roman" w:hAnsi="Times New Roman" w:cs="Times New Roman"/>
          <w:b/>
          <w:bCs/>
          <w:sz w:val="24"/>
          <w:szCs w:val="24"/>
          <w:lang w:eastAsia="en-IN"/>
        </w:rPr>
        <w:t>Kharif</w:t>
      </w:r>
      <w:r w:rsidRPr="00734934">
        <w:rPr>
          <w:rFonts w:ascii="Times New Roman" w:eastAsia="Times New Roman" w:hAnsi="Times New Roman" w:cs="Times New Roman"/>
          <w:sz w:val="24"/>
          <w:szCs w:val="24"/>
          <w:lang w:eastAsia="en-IN"/>
        </w:rPr>
        <w:t xml:space="preserve"> and </w:t>
      </w:r>
      <w:r w:rsidRPr="00734934">
        <w:rPr>
          <w:rFonts w:ascii="Times New Roman" w:eastAsia="Times New Roman" w:hAnsi="Times New Roman" w:cs="Times New Roman"/>
          <w:b/>
          <w:bCs/>
          <w:sz w:val="24"/>
          <w:szCs w:val="24"/>
          <w:lang w:eastAsia="en-IN"/>
        </w:rPr>
        <w:t>Rabi</w:t>
      </w:r>
      <w:r w:rsidRPr="00734934">
        <w:rPr>
          <w:rFonts w:ascii="Times New Roman" w:eastAsia="Times New Roman" w:hAnsi="Times New Roman" w:cs="Times New Roman"/>
          <w:sz w:val="24"/>
          <w:szCs w:val="24"/>
          <w:lang w:eastAsia="en-IN"/>
        </w:rPr>
        <w:t xml:space="preserve"> seasons.</w:t>
      </w:r>
    </w:p>
    <w:p w14:paraId="23F89DAB" w14:textId="77777777" w:rsidR="00734934" w:rsidRPr="00734934" w:rsidRDefault="00734934" w:rsidP="0073493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Kharif as the Peak Season</w:t>
      </w:r>
      <w:r w:rsidRPr="00734934">
        <w:rPr>
          <w:rFonts w:ascii="Times New Roman" w:eastAsia="Times New Roman" w:hAnsi="Times New Roman" w:cs="Times New Roman"/>
          <w:sz w:val="24"/>
          <w:szCs w:val="24"/>
          <w:lang w:eastAsia="en-IN"/>
        </w:rPr>
        <w:t xml:space="preserve">: For both schemes, the average insured value is visibly higher during the </w:t>
      </w:r>
      <w:r w:rsidRPr="00734934">
        <w:rPr>
          <w:rFonts w:ascii="Times New Roman" w:eastAsia="Times New Roman" w:hAnsi="Times New Roman" w:cs="Times New Roman"/>
          <w:b/>
          <w:bCs/>
          <w:sz w:val="24"/>
          <w:szCs w:val="24"/>
          <w:lang w:eastAsia="en-IN"/>
        </w:rPr>
        <w:t>Kharif</w:t>
      </w:r>
      <w:r w:rsidRPr="00734934">
        <w:rPr>
          <w:rFonts w:ascii="Times New Roman" w:eastAsia="Times New Roman" w:hAnsi="Times New Roman" w:cs="Times New Roman"/>
          <w:sz w:val="24"/>
          <w:szCs w:val="24"/>
          <w:lang w:eastAsia="en-IN"/>
        </w:rPr>
        <w:t xml:space="preserve"> season compared to the Rabi season, confirming that the monsoon cropping cycle is the period of highest financial activity for insurance.</w:t>
      </w:r>
    </w:p>
    <w:p w14:paraId="13C5739A" w14:textId="77777777" w:rsidR="00734934" w:rsidRPr="00734934" w:rsidRDefault="00734934" w:rsidP="00734934">
      <w:pPr>
        <w:spacing w:after="0"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sz w:val="24"/>
          <w:szCs w:val="24"/>
          <w:lang w:eastAsia="en-IN"/>
        </w:rPr>
        <w:pict w14:anchorId="1A4D744D">
          <v:rect id="_x0000_i1043" style="width:0;height:1.5pt" o:hralign="center" o:hrstd="t" o:hr="t" fillcolor="#a0a0a0" stroked="f"/>
        </w:pict>
      </w:r>
    </w:p>
    <w:p w14:paraId="18F0A38E" w14:textId="77777777" w:rsidR="00734934" w:rsidRPr="00734934" w:rsidRDefault="00734934" w:rsidP="0073493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34934">
        <w:rPr>
          <w:rFonts w:ascii="Times New Roman" w:eastAsia="Times New Roman" w:hAnsi="Times New Roman" w:cs="Times New Roman"/>
          <w:b/>
          <w:bCs/>
          <w:sz w:val="27"/>
          <w:szCs w:val="27"/>
          <w:lang w:eastAsia="en-IN"/>
        </w:rPr>
        <w:t>Regional Scheme Bias and Premium Concentration</w:t>
      </w:r>
    </w:p>
    <w:p w14:paraId="62BF326F" w14:textId="77777777" w:rsidR="00734934" w:rsidRPr="00734934" w:rsidRDefault="00734934" w:rsidP="00734934">
      <w:p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sz w:val="24"/>
          <w:szCs w:val="24"/>
          <w:lang w:eastAsia="en-IN"/>
        </w:rPr>
        <w:t>The heatmap and bar chart reveal that high-premium insurance activity is concentrated in a few key states and is heavily biased towards the PMFBY scheme.</w:t>
      </w:r>
    </w:p>
    <w:p w14:paraId="5BFEC0D6" w14:textId="77777777" w:rsidR="00734934" w:rsidRPr="00734934" w:rsidRDefault="00734934" w:rsidP="007349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High-Premium PMFBY States</w:t>
      </w:r>
      <w:r w:rsidRPr="00734934">
        <w:rPr>
          <w:rFonts w:ascii="Times New Roman" w:eastAsia="Times New Roman" w:hAnsi="Times New Roman" w:cs="Times New Roman"/>
          <w:sz w:val="24"/>
          <w:szCs w:val="24"/>
          <w:lang w:eastAsia="en-IN"/>
        </w:rPr>
        <w:t xml:space="preserve">: A few states are clear leaders in driving high average premiums under the </w:t>
      </w:r>
      <w:r w:rsidRPr="00734934">
        <w:rPr>
          <w:rFonts w:ascii="Times New Roman" w:eastAsia="Times New Roman" w:hAnsi="Times New Roman" w:cs="Times New Roman"/>
          <w:b/>
          <w:bCs/>
          <w:sz w:val="24"/>
          <w:szCs w:val="24"/>
          <w:lang w:eastAsia="en-IN"/>
        </w:rPr>
        <w:t>PMFBY</w:t>
      </w:r>
      <w:r w:rsidRPr="00734934">
        <w:rPr>
          <w:rFonts w:ascii="Times New Roman" w:eastAsia="Times New Roman" w:hAnsi="Times New Roman" w:cs="Times New Roman"/>
          <w:sz w:val="24"/>
          <w:szCs w:val="24"/>
          <w:lang w:eastAsia="en-IN"/>
        </w:rPr>
        <w:t xml:space="preserve"> scheme. These include </w:t>
      </w:r>
    </w:p>
    <w:p w14:paraId="5738BCE3" w14:textId="77777777" w:rsidR="00734934" w:rsidRPr="00734934" w:rsidRDefault="00734934" w:rsidP="0073493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Rajasthan (₹8,298)</w:t>
      </w:r>
      <w:r w:rsidRPr="00734934">
        <w:rPr>
          <w:rFonts w:ascii="Times New Roman" w:eastAsia="Times New Roman" w:hAnsi="Times New Roman" w:cs="Times New Roman"/>
          <w:sz w:val="24"/>
          <w:szCs w:val="24"/>
          <w:lang w:eastAsia="en-IN"/>
        </w:rPr>
        <w:t xml:space="preserve">, </w:t>
      </w:r>
      <w:r w:rsidRPr="00734934">
        <w:rPr>
          <w:rFonts w:ascii="Times New Roman" w:eastAsia="Times New Roman" w:hAnsi="Times New Roman" w:cs="Times New Roman"/>
          <w:b/>
          <w:bCs/>
          <w:sz w:val="24"/>
          <w:szCs w:val="24"/>
          <w:lang w:eastAsia="en-IN"/>
        </w:rPr>
        <w:t>Maharashtra (₹8,295)</w:t>
      </w:r>
      <w:r w:rsidRPr="00734934">
        <w:rPr>
          <w:rFonts w:ascii="Times New Roman" w:eastAsia="Times New Roman" w:hAnsi="Times New Roman" w:cs="Times New Roman"/>
          <w:sz w:val="24"/>
          <w:szCs w:val="24"/>
          <w:lang w:eastAsia="en-IN"/>
        </w:rPr>
        <w:t xml:space="preserve">, </w:t>
      </w:r>
      <w:r w:rsidRPr="00734934">
        <w:rPr>
          <w:rFonts w:ascii="Times New Roman" w:eastAsia="Times New Roman" w:hAnsi="Times New Roman" w:cs="Times New Roman"/>
          <w:b/>
          <w:bCs/>
          <w:sz w:val="24"/>
          <w:szCs w:val="24"/>
          <w:lang w:eastAsia="en-IN"/>
        </w:rPr>
        <w:t>Andhra Pradesh (₹5,942)</w:t>
      </w:r>
      <w:r w:rsidRPr="00734934">
        <w:rPr>
          <w:rFonts w:ascii="Times New Roman" w:eastAsia="Times New Roman" w:hAnsi="Times New Roman" w:cs="Times New Roman"/>
          <w:sz w:val="24"/>
          <w:szCs w:val="24"/>
          <w:lang w:eastAsia="en-IN"/>
        </w:rPr>
        <w:t xml:space="preserve">, </w:t>
      </w:r>
      <w:r w:rsidRPr="00734934">
        <w:rPr>
          <w:rFonts w:ascii="Times New Roman" w:eastAsia="Times New Roman" w:hAnsi="Times New Roman" w:cs="Times New Roman"/>
          <w:b/>
          <w:bCs/>
          <w:sz w:val="24"/>
          <w:szCs w:val="24"/>
          <w:lang w:eastAsia="en-IN"/>
        </w:rPr>
        <w:t>Madhya Pradesh (₹5,246)</w:t>
      </w:r>
      <w:r w:rsidRPr="00734934">
        <w:rPr>
          <w:rFonts w:ascii="Times New Roman" w:eastAsia="Times New Roman" w:hAnsi="Times New Roman" w:cs="Times New Roman"/>
          <w:sz w:val="24"/>
          <w:szCs w:val="24"/>
          <w:lang w:eastAsia="en-IN"/>
        </w:rPr>
        <w:t xml:space="preserve">, and </w:t>
      </w:r>
      <w:r w:rsidRPr="00734934">
        <w:rPr>
          <w:rFonts w:ascii="Times New Roman" w:eastAsia="Times New Roman" w:hAnsi="Times New Roman" w:cs="Times New Roman"/>
          <w:b/>
          <w:bCs/>
          <w:sz w:val="24"/>
          <w:szCs w:val="24"/>
          <w:lang w:eastAsia="en-IN"/>
        </w:rPr>
        <w:t>Tamil Nadu (₹4,310)</w:t>
      </w:r>
      <w:r w:rsidRPr="00734934">
        <w:rPr>
          <w:rFonts w:ascii="Times New Roman" w:eastAsia="Times New Roman" w:hAnsi="Times New Roman" w:cs="Times New Roman"/>
          <w:sz w:val="24"/>
          <w:szCs w:val="24"/>
          <w:lang w:eastAsia="en-IN"/>
        </w:rPr>
        <w:t>.</w:t>
      </w:r>
    </w:p>
    <w:p w14:paraId="36B346ED" w14:textId="77777777" w:rsidR="00734934" w:rsidRPr="00734934" w:rsidRDefault="00734934" w:rsidP="007349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WBCIS Outlier</w:t>
      </w:r>
      <w:r w:rsidRPr="00734934">
        <w:rPr>
          <w:rFonts w:ascii="Times New Roman" w:eastAsia="Times New Roman" w:hAnsi="Times New Roman" w:cs="Times New Roman"/>
          <w:sz w:val="24"/>
          <w:szCs w:val="24"/>
          <w:lang w:eastAsia="en-IN"/>
        </w:rPr>
        <w:t xml:space="preserve">: The </w:t>
      </w:r>
      <w:r w:rsidRPr="00734934">
        <w:rPr>
          <w:rFonts w:ascii="Times New Roman" w:eastAsia="Times New Roman" w:hAnsi="Times New Roman" w:cs="Times New Roman"/>
          <w:b/>
          <w:bCs/>
          <w:sz w:val="24"/>
          <w:szCs w:val="24"/>
          <w:lang w:eastAsia="en-IN"/>
        </w:rPr>
        <w:t>WBCIS</w:t>
      </w:r>
      <w:r w:rsidRPr="00734934">
        <w:rPr>
          <w:rFonts w:ascii="Times New Roman" w:eastAsia="Times New Roman" w:hAnsi="Times New Roman" w:cs="Times New Roman"/>
          <w:sz w:val="24"/>
          <w:szCs w:val="24"/>
          <w:lang w:eastAsia="en-IN"/>
        </w:rPr>
        <w:t xml:space="preserve"> scheme generally has much lower average premiums across most states. The single major exception is </w:t>
      </w:r>
    </w:p>
    <w:p w14:paraId="16B4D29C" w14:textId="77777777" w:rsidR="00734934" w:rsidRPr="00734934" w:rsidRDefault="00734934" w:rsidP="0073493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Andhra Pradesh</w:t>
      </w:r>
      <w:r w:rsidRPr="00734934">
        <w:rPr>
          <w:rFonts w:ascii="Times New Roman" w:eastAsia="Times New Roman" w:hAnsi="Times New Roman" w:cs="Times New Roman"/>
          <w:sz w:val="24"/>
          <w:szCs w:val="24"/>
          <w:lang w:eastAsia="en-IN"/>
        </w:rPr>
        <w:t>, which has a very high average premium for WBCIS (</w:t>
      </w:r>
      <w:r w:rsidRPr="00734934">
        <w:rPr>
          <w:rFonts w:ascii="Times New Roman" w:eastAsia="Times New Roman" w:hAnsi="Times New Roman" w:cs="Times New Roman"/>
          <w:b/>
          <w:bCs/>
          <w:sz w:val="24"/>
          <w:szCs w:val="24"/>
          <w:lang w:eastAsia="en-IN"/>
        </w:rPr>
        <w:t>₹5,589</w:t>
      </w:r>
      <w:r w:rsidRPr="00734934">
        <w:rPr>
          <w:rFonts w:ascii="Times New Roman" w:eastAsia="Times New Roman" w:hAnsi="Times New Roman" w:cs="Times New Roman"/>
          <w:sz w:val="24"/>
          <w:szCs w:val="24"/>
          <w:lang w:eastAsia="en-IN"/>
        </w:rPr>
        <w:t>).</w:t>
      </w:r>
    </w:p>
    <w:p w14:paraId="32005C5A" w14:textId="77777777" w:rsidR="00734934" w:rsidRPr="00734934" w:rsidRDefault="00734934" w:rsidP="0073493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34934">
        <w:rPr>
          <w:rFonts w:ascii="Times New Roman" w:eastAsia="Times New Roman" w:hAnsi="Times New Roman" w:cs="Times New Roman"/>
          <w:b/>
          <w:bCs/>
          <w:sz w:val="24"/>
          <w:szCs w:val="24"/>
          <w:lang w:eastAsia="en-IN"/>
        </w:rPr>
        <w:t>Scheme Bias</w:t>
      </w:r>
      <w:r w:rsidRPr="00734934">
        <w:rPr>
          <w:rFonts w:ascii="Times New Roman" w:eastAsia="Times New Roman" w:hAnsi="Times New Roman" w:cs="Times New Roman"/>
          <w:sz w:val="24"/>
          <w:szCs w:val="24"/>
          <w:lang w:eastAsia="en-IN"/>
        </w:rPr>
        <w:t>: Most high-premium states show a strong bias towards PMFBY, with negligible average premiums for WBCIS. The unique case of Andhra Pradesh suggests a specific, high-value application of the WBCIS scheme within that state.</w:t>
      </w:r>
    </w:p>
    <w:p w14:paraId="22729E94" w14:textId="4714C06E" w:rsidR="00911432" w:rsidRDefault="00911432"/>
    <w:p w14:paraId="11A4ADD1" w14:textId="77777777" w:rsidR="000A6C7D" w:rsidRPr="000A6C7D" w:rsidRDefault="000A6C7D" w:rsidP="000A6C7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6C7D">
        <w:rPr>
          <w:rFonts w:ascii="Segoe UI Emoji" w:eastAsia="Times New Roman" w:hAnsi="Segoe UI Emoji" w:cs="Segoe UI Emoji"/>
          <w:b/>
          <w:bCs/>
          <w:sz w:val="36"/>
          <w:szCs w:val="36"/>
          <w:lang w:eastAsia="en-IN"/>
        </w:rPr>
        <w:t>🧠</w:t>
      </w:r>
      <w:r w:rsidRPr="000A6C7D">
        <w:rPr>
          <w:rFonts w:ascii="Times New Roman" w:eastAsia="Times New Roman" w:hAnsi="Times New Roman" w:cs="Times New Roman"/>
          <w:b/>
          <w:bCs/>
          <w:sz w:val="36"/>
          <w:szCs w:val="36"/>
          <w:lang w:eastAsia="en-IN"/>
        </w:rPr>
        <w:t xml:space="preserve"> Principal Component Analysis (PCA) Summary</w:t>
      </w:r>
    </w:p>
    <w:p w14:paraId="75ACE4EB"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lastRenderedPageBreak/>
        <w:t>Objective:</w:t>
      </w:r>
      <w:r w:rsidRPr="000A6C7D">
        <w:rPr>
          <w:rFonts w:ascii="Times New Roman" w:eastAsia="Times New Roman" w:hAnsi="Times New Roman" w:cs="Times New Roman"/>
          <w:sz w:val="24"/>
          <w:szCs w:val="24"/>
          <w:lang w:eastAsia="en-IN"/>
        </w:rPr>
        <w:t xml:space="preserve"> Reduce the dimensionality of the crop insurance dataset while preserving maximum variance to uncover hidden patterns across financial and demographic attributes.</w:t>
      </w:r>
    </w:p>
    <w:p w14:paraId="04D6FBD8"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pict w14:anchorId="3580A5FF">
          <v:rect id="_x0000_i1051" style="width:0;height:1.5pt" o:hralign="center" o:hrstd="t" o:hr="t" fillcolor="#a0a0a0" stroked="f"/>
        </w:pict>
      </w:r>
    </w:p>
    <w:p w14:paraId="4688334F" w14:textId="77777777" w:rsidR="000A6C7D" w:rsidRPr="000A6C7D" w:rsidRDefault="000A6C7D" w:rsidP="000A6C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C7D">
        <w:rPr>
          <w:rFonts w:ascii="Segoe UI Emoji" w:eastAsia="Times New Roman" w:hAnsi="Segoe UI Emoji" w:cs="Segoe UI Emoji"/>
          <w:b/>
          <w:bCs/>
          <w:sz w:val="27"/>
          <w:szCs w:val="27"/>
          <w:lang w:eastAsia="en-IN"/>
        </w:rPr>
        <w:t>🔷</w:t>
      </w:r>
      <w:r w:rsidRPr="000A6C7D">
        <w:rPr>
          <w:rFonts w:ascii="Times New Roman" w:eastAsia="Times New Roman" w:hAnsi="Times New Roman" w:cs="Times New Roman"/>
          <w:b/>
          <w:bCs/>
          <w:sz w:val="27"/>
          <w:szCs w:val="27"/>
          <w:lang w:eastAsia="en-IN"/>
        </w:rPr>
        <w:t xml:space="preserve"> PC1 – "Financial Scale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822"/>
      </w:tblGrid>
      <w:tr w:rsidR="000A6C7D" w:rsidRPr="000A6C7D" w14:paraId="30C88B80" w14:textId="77777777" w:rsidTr="000A6C7D">
        <w:trPr>
          <w:tblHeader/>
          <w:tblCellSpacing w:w="15" w:type="dxa"/>
        </w:trPr>
        <w:tc>
          <w:tcPr>
            <w:tcW w:w="0" w:type="auto"/>
            <w:vAlign w:val="center"/>
            <w:hideMark/>
          </w:tcPr>
          <w:p w14:paraId="72252D1F"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Top Features (Loadings)</w:t>
            </w:r>
          </w:p>
        </w:tc>
        <w:tc>
          <w:tcPr>
            <w:tcW w:w="0" w:type="auto"/>
            <w:vAlign w:val="center"/>
            <w:hideMark/>
          </w:tcPr>
          <w:p w14:paraId="1740ECC9"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Weight</w:t>
            </w:r>
          </w:p>
        </w:tc>
      </w:tr>
      <w:tr w:rsidR="000A6C7D" w:rsidRPr="000A6C7D" w14:paraId="5C2BB3F8" w14:textId="77777777" w:rsidTr="000A6C7D">
        <w:trPr>
          <w:tblCellSpacing w:w="15" w:type="dxa"/>
        </w:trPr>
        <w:tc>
          <w:tcPr>
            <w:tcW w:w="0" w:type="auto"/>
            <w:vAlign w:val="center"/>
            <w:hideMark/>
          </w:tcPr>
          <w:p w14:paraId="189C74FC"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gross_premium</w:t>
            </w:r>
            <w:proofErr w:type="spellEnd"/>
          </w:p>
        </w:tc>
        <w:tc>
          <w:tcPr>
            <w:tcW w:w="0" w:type="auto"/>
            <w:vAlign w:val="center"/>
            <w:hideMark/>
          </w:tcPr>
          <w:p w14:paraId="4540A5F6"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+0.41</w:t>
            </w:r>
          </w:p>
        </w:tc>
      </w:tr>
      <w:tr w:rsidR="000A6C7D" w:rsidRPr="000A6C7D" w14:paraId="63ED1C78" w14:textId="77777777" w:rsidTr="000A6C7D">
        <w:trPr>
          <w:tblCellSpacing w:w="15" w:type="dxa"/>
        </w:trPr>
        <w:tc>
          <w:tcPr>
            <w:tcW w:w="0" w:type="auto"/>
            <w:vAlign w:val="center"/>
            <w:hideMark/>
          </w:tcPr>
          <w:p w14:paraId="13A416A0"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goi_share</w:t>
            </w:r>
            <w:proofErr w:type="spellEnd"/>
          </w:p>
        </w:tc>
        <w:tc>
          <w:tcPr>
            <w:tcW w:w="0" w:type="auto"/>
            <w:vAlign w:val="center"/>
            <w:hideMark/>
          </w:tcPr>
          <w:p w14:paraId="1904B05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+0.40</w:t>
            </w:r>
          </w:p>
        </w:tc>
      </w:tr>
      <w:tr w:rsidR="000A6C7D" w:rsidRPr="000A6C7D" w14:paraId="40045DAC" w14:textId="77777777" w:rsidTr="000A6C7D">
        <w:trPr>
          <w:tblCellSpacing w:w="15" w:type="dxa"/>
        </w:trPr>
        <w:tc>
          <w:tcPr>
            <w:tcW w:w="0" w:type="auto"/>
            <w:vAlign w:val="center"/>
            <w:hideMark/>
          </w:tcPr>
          <w:p w14:paraId="1A6A09E7"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sum_insured</w:t>
            </w:r>
            <w:proofErr w:type="spellEnd"/>
          </w:p>
        </w:tc>
        <w:tc>
          <w:tcPr>
            <w:tcW w:w="0" w:type="auto"/>
            <w:vAlign w:val="center"/>
            <w:hideMark/>
          </w:tcPr>
          <w:p w14:paraId="710AA261"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+0.39</w:t>
            </w:r>
          </w:p>
        </w:tc>
      </w:tr>
      <w:tr w:rsidR="000A6C7D" w:rsidRPr="000A6C7D" w14:paraId="24AF28FB" w14:textId="77777777" w:rsidTr="000A6C7D">
        <w:trPr>
          <w:tblCellSpacing w:w="15" w:type="dxa"/>
        </w:trPr>
        <w:tc>
          <w:tcPr>
            <w:tcW w:w="0" w:type="auto"/>
            <w:vAlign w:val="center"/>
            <w:hideMark/>
          </w:tcPr>
          <w:p w14:paraId="028A61D6"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state_share</w:t>
            </w:r>
            <w:proofErr w:type="spellEnd"/>
          </w:p>
        </w:tc>
        <w:tc>
          <w:tcPr>
            <w:tcW w:w="0" w:type="auto"/>
            <w:vAlign w:val="center"/>
            <w:hideMark/>
          </w:tcPr>
          <w:p w14:paraId="11D7F3C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+0.39</w:t>
            </w:r>
          </w:p>
        </w:tc>
      </w:tr>
      <w:tr w:rsidR="000A6C7D" w:rsidRPr="000A6C7D" w14:paraId="7CC144C8" w14:textId="77777777" w:rsidTr="000A6C7D">
        <w:trPr>
          <w:tblCellSpacing w:w="15" w:type="dxa"/>
        </w:trPr>
        <w:tc>
          <w:tcPr>
            <w:tcW w:w="0" w:type="auto"/>
            <w:vAlign w:val="center"/>
            <w:hideMark/>
          </w:tcPr>
          <w:p w14:paraId="6EC3E4F2"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farmer_share</w:t>
            </w:r>
            <w:proofErr w:type="spellEnd"/>
          </w:p>
        </w:tc>
        <w:tc>
          <w:tcPr>
            <w:tcW w:w="0" w:type="auto"/>
            <w:vAlign w:val="center"/>
            <w:hideMark/>
          </w:tcPr>
          <w:p w14:paraId="6C3307DB"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+0.38</w:t>
            </w:r>
          </w:p>
        </w:tc>
      </w:tr>
      <w:tr w:rsidR="000A6C7D" w:rsidRPr="000A6C7D" w14:paraId="3E0A6C49" w14:textId="77777777" w:rsidTr="000A6C7D">
        <w:trPr>
          <w:tblCellSpacing w:w="15" w:type="dxa"/>
        </w:trPr>
        <w:tc>
          <w:tcPr>
            <w:tcW w:w="0" w:type="auto"/>
            <w:vAlign w:val="center"/>
            <w:hideMark/>
          </w:tcPr>
          <w:p w14:paraId="1D789FF9"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total_policies</w:t>
            </w:r>
            <w:proofErr w:type="spellEnd"/>
          </w:p>
        </w:tc>
        <w:tc>
          <w:tcPr>
            <w:tcW w:w="0" w:type="auto"/>
            <w:vAlign w:val="center"/>
            <w:hideMark/>
          </w:tcPr>
          <w:p w14:paraId="379DDBEA"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+0.33</w:t>
            </w:r>
          </w:p>
        </w:tc>
      </w:tr>
      <w:tr w:rsidR="000A6C7D" w:rsidRPr="000A6C7D" w14:paraId="00797024" w14:textId="77777777" w:rsidTr="000A6C7D">
        <w:trPr>
          <w:tblCellSpacing w:w="15" w:type="dxa"/>
        </w:trPr>
        <w:tc>
          <w:tcPr>
            <w:tcW w:w="0" w:type="auto"/>
            <w:vAlign w:val="center"/>
            <w:hideMark/>
          </w:tcPr>
          <w:p w14:paraId="30E902EA"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area_insured</w:t>
            </w:r>
            <w:proofErr w:type="spellEnd"/>
          </w:p>
        </w:tc>
        <w:tc>
          <w:tcPr>
            <w:tcW w:w="0" w:type="auto"/>
            <w:vAlign w:val="center"/>
            <w:hideMark/>
          </w:tcPr>
          <w:p w14:paraId="76218F0A"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+0.28</w:t>
            </w:r>
          </w:p>
        </w:tc>
      </w:tr>
    </w:tbl>
    <w:p w14:paraId="4DCFD225"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Interpretation:</w:t>
      </w:r>
    </w:p>
    <w:p w14:paraId="38BDB0B5" w14:textId="77777777" w:rsidR="000A6C7D" w:rsidRPr="000A6C7D" w:rsidRDefault="000A6C7D" w:rsidP="000A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PC1 captures the </w:t>
      </w:r>
      <w:r w:rsidRPr="000A6C7D">
        <w:rPr>
          <w:rFonts w:ascii="Times New Roman" w:eastAsia="Times New Roman" w:hAnsi="Times New Roman" w:cs="Times New Roman"/>
          <w:b/>
          <w:bCs/>
          <w:sz w:val="24"/>
          <w:szCs w:val="24"/>
          <w:lang w:eastAsia="en-IN"/>
        </w:rPr>
        <w:t>overall financial magnitude</w:t>
      </w:r>
      <w:r w:rsidRPr="000A6C7D">
        <w:rPr>
          <w:rFonts w:ascii="Times New Roman" w:eastAsia="Times New Roman" w:hAnsi="Times New Roman" w:cs="Times New Roman"/>
          <w:sz w:val="24"/>
          <w:szCs w:val="24"/>
          <w:lang w:eastAsia="en-IN"/>
        </w:rPr>
        <w:t xml:space="preserve"> of each insurance record.</w:t>
      </w:r>
    </w:p>
    <w:p w14:paraId="6030D7D5" w14:textId="77777777" w:rsidR="000A6C7D" w:rsidRPr="000A6C7D" w:rsidRDefault="000A6C7D" w:rsidP="000A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High PC1 values reflect </w:t>
      </w:r>
      <w:r w:rsidRPr="000A6C7D">
        <w:rPr>
          <w:rFonts w:ascii="Times New Roman" w:eastAsia="Times New Roman" w:hAnsi="Times New Roman" w:cs="Times New Roman"/>
          <w:b/>
          <w:bCs/>
          <w:sz w:val="24"/>
          <w:szCs w:val="24"/>
          <w:lang w:eastAsia="en-IN"/>
        </w:rPr>
        <w:t>large-scale policies</w:t>
      </w:r>
      <w:r w:rsidRPr="000A6C7D">
        <w:rPr>
          <w:rFonts w:ascii="Times New Roman" w:eastAsia="Times New Roman" w:hAnsi="Times New Roman" w:cs="Times New Roman"/>
          <w:sz w:val="24"/>
          <w:szCs w:val="24"/>
          <w:lang w:eastAsia="en-IN"/>
        </w:rPr>
        <w:t xml:space="preserve"> with significant land coverage, premium amounts, and government/farmer contributions.</w:t>
      </w:r>
    </w:p>
    <w:p w14:paraId="4CD4FC8A" w14:textId="77777777" w:rsidR="000A6C7D" w:rsidRPr="000A6C7D" w:rsidRDefault="000A6C7D" w:rsidP="000A6C7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This axis is a measure of </w:t>
      </w:r>
      <w:r w:rsidRPr="000A6C7D">
        <w:rPr>
          <w:rFonts w:ascii="Times New Roman" w:eastAsia="Times New Roman" w:hAnsi="Times New Roman" w:cs="Times New Roman"/>
          <w:b/>
          <w:bCs/>
          <w:sz w:val="24"/>
          <w:szCs w:val="24"/>
          <w:lang w:eastAsia="en-IN"/>
        </w:rPr>
        <w:t>financial scale and operational intensity</w:t>
      </w:r>
      <w:r w:rsidRPr="000A6C7D">
        <w:rPr>
          <w:rFonts w:ascii="Times New Roman" w:eastAsia="Times New Roman" w:hAnsi="Times New Roman" w:cs="Times New Roman"/>
          <w:sz w:val="24"/>
          <w:szCs w:val="24"/>
          <w:lang w:eastAsia="en-IN"/>
        </w:rPr>
        <w:t>.</w:t>
      </w:r>
    </w:p>
    <w:p w14:paraId="21E92522"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Segoe UI Emoji" w:eastAsia="Times New Roman" w:hAnsi="Segoe UI Emoji" w:cs="Segoe UI Emoji"/>
          <w:sz w:val="24"/>
          <w:szCs w:val="24"/>
          <w:lang w:eastAsia="en-IN"/>
        </w:rPr>
        <w:t>📌</w:t>
      </w:r>
      <w:r w:rsidRPr="000A6C7D">
        <w:rPr>
          <w:rFonts w:ascii="Times New Roman" w:eastAsia="Times New Roman" w:hAnsi="Times New Roman" w:cs="Times New Roman"/>
          <w:sz w:val="24"/>
          <w:szCs w:val="24"/>
          <w:lang w:eastAsia="en-IN"/>
        </w:rPr>
        <w:t xml:space="preserve"> </w:t>
      </w:r>
      <w:r w:rsidRPr="000A6C7D">
        <w:rPr>
          <w:rFonts w:ascii="Times New Roman" w:eastAsia="Times New Roman" w:hAnsi="Times New Roman" w:cs="Times New Roman"/>
          <w:b/>
          <w:bCs/>
          <w:sz w:val="24"/>
          <w:szCs w:val="24"/>
          <w:lang w:eastAsia="en-IN"/>
        </w:rPr>
        <w:t>Use Case:</w:t>
      </w:r>
      <w:r w:rsidRPr="000A6C7D">
        <w:rPr>
          <w:rFonts w:ascii="Times New Roman" w:eastAsia="Times New Roman" w:hAnsi="Times New Roman" w:cs="Times New Roman"/>
          <w:sz w:val="24"/>
          <w:szCs w:val="24"/>
          <w:lang w:eastAsia="en-IN"/>
        </w:rPr>
        <w:br/>
        <w:t xml:space="preserve">Rank districts or entries by PC1 to identify the </w:t>
      </w:r>
      <w:r w:rsidRPr="000A6C7D">
        <w:rPr>
          <w:rFonts w:ascii="Times New Roman" w:eastAsia="Times New Roman" w:hAnsi="Times New Roman" w:cs="Times New Roman"/>
          <w:b/>
          <w:bCs/>
          <w:sz w:val="24"/>
          <w:szCs w:val="24"/>
          <w:lang w:eastAsia="en-IN"/>
        </w:rPr>
        <w:t>most financially significant regions</w:t>
      </w:r>
      <w:r w:rsidRPr="000A6C7D">
        <w:rPr>
          <w:rFonts w:ascii="Times New Roman" w:eastAsia="Times New Roman" w:hAnsi="Times New Roman" w:cs="Times New Roman"/>
          <w:sz w:val="24"/>
          <w:szCs w:val="24"/>
          <w:lang w:eastAsia="en-IN"/>
        </w:rPr>
        <w:t xml:space="preserve"> in the crop insurance scheme.</w:t>
      </w:r>
    </w:p>
    <w:p w14:paraId="08424B84"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pict w14:anchorId="236D03CD">
          <v:rect id="_x0000_i1052" style="width:0;height:1.5pt" o:hralign="center" o:hrstd="t" o:hr="t" fillcolor="#a0a0a0" stroked="f"/>
        </w:pict>
      </w:r>
    </w:p>
    <w:p w14:paraId="7257C956" w14:textId="77777777" w:rsidR="000A6C7D" w:rsidRPr="000A6C7D" w:rsidRDefault="000A6C7D" w:rsidP="000A6C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C7D">
        <w:rPr>
          <w:rFonts w:ascii="Segoe UI Emoji" w:eastAsia="Times New Roman" w:hAnsi="Segoe UI Emoji" w:cs="Segoe UI Emoji"/>
          <w:b/>
          <w:bCs/>
          <w:sz w:val="27"/>
          <w:szCs w:val="27"/>
          <w:lang w:eastAsia="en-IN"/>
        </w:rPr>
        <w:t>🔷</w:t>
      </w:r>
      <w:r w:rsidRPr="000A6C7D">
        <w:rPr>
          <w:rFonts w:ascii="Times New Roman" w:eastAsia="Times New Roman" w:hAnsi="Times New Roman" w:cs="Times New Roman"/>
          <w:b/>
          <w:bCs/>
          <w:sz w:val="27"/>
          <w:szCs w:val="27"/>
          <w:lang w:eastAsia="en-IN"/>
        </w:rPr>
        <w:t xml:space="preserve"> PC2 – "Demographic Skew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822"/>
      </w:tblGrid>
      <w:tr w:rsidR="000A6C7D" w:rsidRPr="000A6C7D" w14:paraId="7C8907F7" w14:textId="77777777" w:rsidTr="000A6C7D">
        <w:trPr>
          <w:tblHeader/>
          <w:tblCellSpacing w:w="15" w:type="dxa"/>
        </w:trPr>
        <w:tc>
          <w:tcPr>
            <w:tcW w:w="0" w:type="auto"/>
            <w:vAlign w:val="center"/>
            <w:hideMark/>
          </w:tcPr>
          <w:p w14:paraId="2CD3E5E6"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Top Features (Loadings)</w:t>
            </w:r>
          </w:p>
        </w:tc>
        <w:tc>
          <w:tcPr>
            <w:tcW w:w="0" w:type="auto"/>
            <w:vAlign w:val="center"/>
            <w:hideMark/>
          </w:tcPr>
          <w:p w14:paraId="5827738F"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Weight</w:t>
            </w:r>
          </w:p>
        </w:tc>
      </w:tr>
      <w:tr w:rsidR="000A6C7D" w:rsidRPr="000A6C7D" w14:paraId="54C8B2F7" w14:textId="77777777" w:rsidTr="000A6C7D">
        <w:trPr>
          <w:tblCellSpacing w:w="15" w:type="dxa"/>
        </w:trPr>
        <w:tc>
          <w:tcPr>
            <w:tcW w:w="0" w:type="auto"/>
            <w:vAlign w:val="center"/>
            <w:hideMark/>
          </w:tcPr>
          <w:p w14:paraId="300398D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female</w:t>
            </w:r>
          </w:p>
        </w:tc>
        <w:tc>
          <w:tcPr>
            <w:tcW w:w="0" w:type="auto"/>
            <w:vAlign w:val="center"/>
            <w:hideMark/>
          </w:tcPr>
          <w:p w14:paraId="150AA781"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+0.53</w:t>
            </w:r>
          </w:p>
        </w:tc>
      </w:tr>
      <w:tr w:rsidR="000A6C7D" w:rsidRPr="000A6C7D" w14:paraId="1E6C234A" w14:textId="77777777" w:rsidTr="000A6C7D">
        <w:trPr>
          <w:tblCellSpacing w:w="15" w:type="dxa"/>
        </w:trPr>
        <w:tc>
          <w:tcPr>
            <w:tcW w:w="0" w:type="auto"/>
            <w:vAlign w:val="center"/>
            <w:hideMark/>
          </w:tcPr>
          <w:p w14:paraId="328682ED"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male</w:t>
            </w:r>
          </w:p>
        </w:tc>
        <w:tc>
          <w:tcPr>
            <w:tcW w:w="0" w:type="auto"/>
            <w:vAlign w:val="center"/>
            <w:hideMark/>
          </w:tcPr>
          <w:p w14:paraId="6D5985BA"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–0.53</w:t>
            </w:r>
          </w:p>
        </w:tc>
      </w:tr>
      <w:tr w:rsidR="000A6C7D" w:rsidRPr="000A6C7D" w14:paraId="0C34E4DD" w14:textId="77777777" w:rsidTr="000A6C7D">
        <w:trPr>
          <w:tblCellSpacing w:w="15" w:type="dxa"/>
        </w:trPr>
        <w:tc>
          <w:tcPr>
            <w:tcW w:w="0" w:type="auto"/>
            <w:vAlign w:val="center"/>
            <w:hideMark/>
          </w:tcPr>
          <w:p w14:paraId="359284F5"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other (farmer type)</w:t>
            </w:r>
          </w:p>
        </w:tc>
        <w:tc>
          <w:tcPr>
            <w:tcW w:w="0" w:type="auto"/>
            <w:vAlign w:val="center"/>
            <w:hideMark/>
          </w:tcPr>
          <w:p w14:paraId="510371E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–0.43</w:t>
            </w:r>
          </w:p>
        </w:tc>
      </w:tr>
      <w:tr w:rsidR="000A6C7D" w:rsidRPr="000A6C7D" w14:paraId="68B1D2AF" w14:textId="77777777" w:rsidTr="000A6C7D">
        <w:trPr>
          <w:tblCellSpacing w:w="15" w:type="dxa"/>
        </w:trPr>
        <w:tc>
          <w:tcPr>
            <w:tcW w:w="0" w:type="auto"/>
            <w:vAlign w:val="center"/>
            <w:hideMark/>
          </w:tcPr>
          <w:p w14:paraId="643CAC21"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small</w:t>
            </w:r>
          </w:p>
        </w:tc>
        <w:tc>
          <w:tcPr>
            <w:tcW w:w="0" w:type="auto"/>
            <w:vAlign w:val="center"/>
            <w:hideMark/>
          </w:tcPr>
          <w:p w14:paraId="06A45086"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+0.39</w:t>
            </w:r>
          </w:p>
        </w:tc>
      </w:tr>
      <w:tr w:rsidR="000A6C7D" w:rsidRPr="000A6C7D" w14:paraId="6ABAD594" w14:textId="77777777" w:rsidTr="000A6C7D">
        <w:trPr>
          <w:tblCellSpacing w:w="15" w:type="dxa"/>
        </w:trPr>
        <w:tc>
          <w:tcPr>
            <w:tcW w:w="0" w:type="auto"/>
            <w:vAlign w:val="center"/>
            <w:hideMark/>
          </w:tcPr>
          <w:p w14:paraId="08EC71A6"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proofErr w:type="spellStart"/>
            <w:r w:rsidRPr="000A6C7D">
              <w:rPr>
                <w:rFonts w:ascii="Times New Roman" w:eastAsia="Times New Roman" w:hAnsi="Times New Roman" w:cs="Times New Roman"/>
                <w:sz w:val="24"/>
                <w:szCs w:val="24"/>
                <w:lang w:eastAsia="en-IN"/>
              </w:rPr>
              <w:t>obc</w:t>
            </w:r>
            <w:proofErr w:type="spellEnd"/>
          </w:p>
        </w:tc>
        <w:tc>
          <w:tcPr>
            <w:tcW w:w="0" w:type="auto"/>
            <w:vAlign w:val="center"/>
            <w:hideMark/>
          </w:tcPr>
          <w:p w14:paraId="71D09A42"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–0.21</w:t>
            </w:r>
          </w:p>
        </w:tc>
      </w:tr>
      <w:tr w:rsidR="000A6C7D" w:rsidRPr="000A6C7D" w14:paraId="66F542C4" w14:textId="77777777" w:rsidTr="000A6C7D">
        <w:trPr>
          <w:tblCellSpacing w:w="15" w:type="dxa"/>
        </w:trPr>
        <w:tc>
          <w:tcPr>
            <w:tcW w:w="0" w:type="auto"/>
            <w:vAlign w:val="center"/>
            <w:hideMark/>
          </w:tcPr>
          <w:p w14:paraId="1CA0757F"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gen</w:t>
            </w:r>
          </w:p>
        </w:tc>
        <w:tc>
          <w:tcPr>
            <w:tcW w:w="0" w:type="auto"/>
            <w:vAlign w:val="center"/>
            <w:hideMark/>
          </w:tcPr>
          <w:p w14:paraId="52C83DBC"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+0.15</w:t>
            </w:r>
          </w:p>
        </w:tc>
      </w:tr>
    </w:tbl>
    <w:p w14:paraId="6A0F4180"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Interpretation:</w:t>
      </w:r>
    </w:p>
    <w:p w14:paraId="6650C5B5" w14:textId="77777777" w:rsidR="000A6C7D" w:rsidRPr="000A6C7D" w:rsidRDefault="000A6C7D" w:rsidP="000A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PC2 captures </w:t>
      </w:r>
      <w:r w:rsidRPr="000A6C7D">
        <w:rPr>
          <w:rFonts w:ascii="Times New Roman" w:eastAsia="Times New Roman" w:hAnsi="Times New Roman" w:cs="Times New Roman"/>
          <w:b/>
          <w:bCs/>
          <w:sz w:val="24"/>
          <w:szCs w:val="24"/>
          <w:lang w:eastAsia="en-IN"/>
        </w:rPr>
        <w:t>demographic variation</w:t>
      </w:r>
      <w:r w:rsidRPr="000A6C7D">
        <w:rPr>
          <w:rFonts w:ascii="Times New Roman" w:eastAsia="Times New Roman" w:hAnsi="Times New Roman" w:cs="Times New Roman"/>
          <w:sz w:val="24"/>
          <w:szCs w:val="24"/>
          <w:lang w:eastAsia="en-IN"/>
        </w:rPr>
        <w:t xml:space="preserve"> across gender, caste, and farmer type.</w:t>
      </w:r>
    </w:p>
    <w:p w14:paraId="43BD9469" w14:textId="77777777" w:rsidR="000A6C7D" w:rsidRPr="000A6C7D" w:rsidRDefault="000A6C7D" w:rsidP="000A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High PC2 scores indicate higher </w:t>
      </w:r>
      <w:r w:rsidRPr="000A6C7D">
        <w:rPr>
          <w:rFonts w:ascii="Times New Roman" w:eastAsia="Times New Roman" w:hAnsi="Times New Roman" w:cs="Times New Roman"/>
          <w:b/>
          <w:bCs/>
          <w:sz w:val="24"/>
          <w:szCs w:val="24"/>
          <w:lang w:eastAsia="en-IN"/>
        </w:rPr>
        <w:t>female and small farmer</w:t>
      </w:r>
      <w:r w:rsidRPr="000A6C7D">
        <w:rPr>
          <w:rFonts w:ascii="Times New Roman" w:eastAsia="Times New Roman" w:hAnsi="Times New Roman" w:cs="Times New Roman"/>
          <w:sz w:val="24"/>
          <w:szCs w:val="24"/>
          <w:lang w:eastAsia="en-IN"/>
        </w:rPr>
        <w:t xml:space="preserve"> participation.</w:t>
      </w:r>
    </w:p>
    <w:p w14:paraId="5AF349F3" w14:textId="77777777" w:rsidR="000A6C7D" w:rsidRPr="000A6C7D" w:rsidRDefault="000A6C7D" w:rsidP="000A6C7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Low PC2 scores reflect records dominated by </w:t>
      </w:r>
      <w:r w:rsidRPr="000A6C7D">
        <w:rPr>
          <w:rFonts w:ascii="Times New Roman" w:eastAsia="Times New Roman" w:hAnsi="Times New Roman" w:cs="Times New Roman"/>
          <w:b/>
          <w:bCs/>
          <w:sz w:val="24"/>
          <w:szCs w:val="24"/>
          <w:lang w:eastAsia="en-IN"/>
        </w:rPr>
        <w:t>male</w:t>
      </w:r>
      <w:r w:rsidRPr="000A6C7D">
        <w:rPr>
          <w:rFonts w:ascii="Times New Roman" w:eastAsia="Times New Roman" w:hAnsi="Times New Roman" w:cs="Times New Roman"/>
          <w:sz w:val="24"/>
          <w:szCs w:val="24"/>
          <w:lang w:eastAsia="en-IN"/>
        </w:rPr>
        <w:t xml:space="preserve"> and </w:t>
      </w:r>
      <w:r w:rsidRPr="000A6C7D">
        <w:rPr>
          <w:rFonts w:ascii="Times New Roman" w:eastAsia="Times New Roman" w:hAnsi="Times New Roman" w:cs="Times New Roman"/>
          <w:b/>
          <w:bCs/>
          <w:sz w:val="24"/>
          <w:szCs w:val="24"/>
          <w:lang w:eastAsia="en-IN"/>
        </w:rPr>
        <w:t>‘other’ category</w:t>
      </w:r>
      <w:r w:rsidRPr="000A6C7D">
        <w:rPr>
          <w:rFonts w:ascii="Times New Roman" w:eastAsia="Times New Roman" w:hAnsi="Times New Roman" w:cs="Times New Roman"/>
          <w:sz w:val="24"/>
          <w:szCs w:val="24"/>
          <w:lang w:eastAsia="en-IN"/>
        </w:rPr>
        <w:t xml:space="preserve"> farmers.</w:t>
      </w:r>
    </w:p>
    <w:p w14:paraId="4268C5E5"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Segoe UI Emoji" w:eastAsia="Times New Roman" w:hAnsi="Segoe UI Emoji" w:cs="Segoe UI Emoji"/>
          <w:sz w:val="24"/>
          <w:szCs w:val="24"/>
          <w:lang w:eastAsia="en-IN"/>
        </w:rPr>
        <w:lastRenderedPageBreak/>
        <w:t>📌</w:t>
      </w:r>
      <w:r w:rsidRPr="000A6C7D">
        <w:rPr>
          <w:rFonts w:ascii="Times New Roman" w:eastAsia="Times New Roman" w:hAnsi="Times New Roman" w:cs="Times New Roman"/>
          <w:sz w:val="24"/>
          <w:szCs w:val="24"/>
          <w:lang w:eastAsia="en-IN"/>
        </w:rPr>
        <w:t xml:space="preserve"> </w:t>
      </w:r>
      <w:r w:rsidRPr="000A6C7D">
        <w:rPr>
          <w:rFonts w:ascii="Times New Roman" w:eastAsia="Times New Roman" w:hAnsi="Times New Roman" w:cs="Times New Roman"/>
          <w:b/>
          <w:bCs/>
          <w:sz w:val="24"/>
          <w:szCs w:val="24"/>
          <w:lang w:eastAsia="en-IN"/>
        </w:rPr>
        <w:t>Use Case:</w:t>
      </w:r>
      <w:r w:rsidRPr="000A6C7D">
        <w:rPr>
          <w:rFonts w:ascii="Times New Roman" w:eastAsia="Times New Roman" w:hAnsi="Times New Roman" w:cs="Times New Roman"/>
          <w:sz w:val="24"/>
          <w:szCs w:val="24"/>
          <w:lang w:eastAsia="en-IN"/>
        </w:rPr>
        <w:br/>
        <w:t xml:space="preserve">Use PC2 to evaluate </w:t>
      </w:r>
      <w:r w:rsidRPr="000A6C7D">
        <w:rPr>
          <w:rFonts w:ascii="Times New Roman" w:eastAsia="Times New Roman" w:hAnsi="Times New Roman" w:cs="Times New Roman"/>
          <w:b/>
          <w:bCs/>
          <w:sz w:val="24"/>
          <w:szCs w:val="24"/>
          <w:lang w:eastAsia="en-IN"/>
        </w:rPr>
        <w:t>social inclusivity</w:t>
      </w:r>
      <w:r w:rsidRPr="000A6C7D">
        <w:rPr>
          <w:rFonts w:ascii="Times New Roman" w:eastAsia="Times New Roman" w:hAnsi="Times New Roman" w:cs="Times New Roman"/>
          <w:sz w:val="24"/>
          <w:szCs w:val="24"/>
          <w:lang w:eastAsia="en-IN"/>
        </w:rPr>
        <w:t xml:space="preserve"> in scheme implementation — identify gender and caste imbalances in uptake.</w:t>
      </w:r>
    </w:p>
    <w:p w14:paraId="487CBB22"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pict w14:anchorId="283792FC">
          <v:rect id="_x0000_i1053" style="width:0;height:1.5pt" o:hralign="center" o:hrstd="t" o:hr="t" fillcolor="#a0a0a0" stroked="f"/>
        </w:pict>
      </w:r>
    </w:p>
    <w:p w14:paraId="7423D221" w14:textId="77777777" w:rsidR="000A6C7D" w:rsidRPr="000A6C7D" w:rsidRDefault="000A6C7D" w:rsidP="000A6C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C7D">
        <w:rPr>
          <w:rFonts w:ascii="Segoe UI Emoji" w:eastAsia="Times New Roman" w:hAnsi="Segoe UI Emoji" w:cs="Segoe UI Emoji"/>
          <w:b/>
          <w:bCs/>
          <w:sz w:val="27"/>
          <w:szCs w:val="27"/>
          <w:lang w:eastAsia="en-IN"/>
        </w:rPr>
        <w:t>📊</w:t>
      </w:r>
      <w:r w:rsidRPr="000A6C7D">
        <w:rPr>
          <w:rFonts w:ascii="Times New Roman" w:eastAsia="Times New Roman" w:hAnsi="Times New Roman" w:cs="Times New Roman"/>
          <w:b/>
          <w:bCs/>
          <w:sz w:val="27"/>
          <w:szCs w:val="27"/>
          <w:lang w:eastAsia="en-IN"/>
        </w:rPr>
        <w:t xml:space="preserve"> Combined PCA Scatter Plot Insights</w:t>
      </w:r>
    </w:p>
    <w:p w14:paraId="1D412078"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The 2D projection of data on </w:t>
      </w:r>
      <w:r w:rsidRPr="000A6C7D">
        <w:rPr>
          <w:rFonts w:ascii="Times New Roman" w:eastAsia="Times New Roman" w:hAnsi="Times New Roman" w:cs="Times New Roman"/>
          <w:b/>
          <w:bCs/>
          <w:sz w:val="24"/>
          <w:szCs w:val="24"/>
          <w:lang w:eastAsia="en-IN"/>
        </w:rPr>
        <w:t>PC1 vs PC2</w:t>
      </w:r>
      <w:r w:rsidRPr="000A6C7D">
        <w:rPr>
          <w:rFonts w:ascii="Times New Roman" w:eastAsia="Times New Roman" w:hAnsi="Times New Roman" w:cs="Times New Roman"/>
          <w:sz w:val="24"/>
          <w:szCs w:val="24"/>
          <w:lang w:eastAsia="en-IN"/>
        </w:rPr>
        <w:t xml:space="preserve"> axes revealed clear structural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6955"/>
      </w:tblGrid>
      <w:tr w:rsidR="000A6C7D" w:rsidRPr="000A6C7D" w14:paraId="71D72F6C" w14:textId="77777777" w:rsidTr="000A6C7D">
        <w:trPr>
          <w:tblHeader/>
          <w:tblCellSpacing w:w="15" w:type="dxa"/>
        </w:trPr>
        <w:tc>
          <w:tcPr>
            <w:tcW w:w="0" w:type="auto"/>
            <w:vAlign w:val="center"/>
            <w:hideMark/>
          </w:tcPr>
          <w:p w14:paraId="66876565"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Pattern</w:t>
            </w:r>
          </w:p>
        </w:tc>
        <w:tc>
          <w:tcPr>
            <w:tcW w:w="0" w:type="auto"/>
            <w:vAlign w:val="center"/>
            <w:hideMark/>
          </w:tcPr>
          <w:p w14:paraId="7349D0AB" w14:textId="77777777" w:rsidR="000A6C7D" w:rsidRPr="000A6C7D" w:rsidRDefault="000A6C7D" w:rsidP="000A6C7D">
            <w:pPr>
              <w:spacing w:after="0" w:line="240" w:lineRule="auto"/>
              <w:jc w:val="center"/>
              <w:rPr>
                <w:rFonts w:ascii="Times New Roman" w:eastAsia="Times New Roman" w:hAnsi="Times New Roman" w:cs="Times New Roman"/>
                <w:b/>
                <w:bCs/>
                <w:sz w:val="24"/>
                <w:szCs w:val="24"/>
                <w:lang w:eastAsia="en-IN"/>
              </w:rPr>
            </w:pPr>
            <w:r w:rsidRPr="000A6C7D">
              <w:rPr>
                <w:rFonts w:ascii="Times New Roman" w:eastAsia="Times New Roman" w:hAnsi="Times New Roman" w:cs="Times New Roman"/>
                <w:b/>
                <w:bCs/>
                <w:sz w:val="24"/>
                <w:szCs w:val="24"/>
                <w:lang w:eastAsia="en-IN"/>
              </w:rPr>
              <w:t>Observation</w:t>
            </w:r>
          </w:p>
        </w:tc>
      </w:tr>
      <w:tr w:rsidR="000A6C7D" w:rsidRPr="000A6C7D" w14:paraId="2C408C8D" w14:textId="77777777" w:rsidTr="000A6C7D">
        <w:trPr>
          <w:tblCellSpacing w:w="15" w:type="dxa"/>
        </w:trPr>
        <w:tc>
          <w:tcPr>
            <w:tcW w:w="0" w:type="auto"/>
            <w:vAlign w:val="center"/>
            <w:hideMark/>
          </w:tcPr>
          <w:p w14:paraId="6743337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Separation by Scheme</w:t>
            </w:r>
          </w:p>
        </w:tc>
        <w:tc>
          <w:tcPr>
            <w:tcW w:w="0" w:type="auto"/>
            <w:vAlign w:val="center"/>
            <w:hideMark/>
          </w:tcPr>
          <w:p w14:paraId="1819AE4D"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PMFBY records span a wide range of PC1 (small to large scale), while WBCIS records cluster at </w:t>
            </w:r>
            <w:r w:rsidRPr="000A6C7D">
              <w:rPr>
                <w:rFonts w:ascii="Times New Roman" w:eastAsia="Times New Roman" w:hAnsi="Times New Roman" w:cs="Times New Roman"/>
                <w:b/>
                <w:bCs/>
                <w:sz w:val="24"/>
                <w:szCs w:val="24"/>
                <w:lang w:eastAsia="en-IN"/>
              </w:rPr>
              <w:t>low PC1</w:t>
            </w:r>
            <w:r w:rsidRPr="000A6C7D">
              <w:rPr>
                <w:rFonts w:ascii="Times New Roman" w:eastAsia="Times New Roman" w:hAnsi="Times New Roman" w:cs="Times New Roman"/>
                <w:sz w:val="24"/>
                <w:szCs w:val="24"/>
                <w:lang w:eastAsia="en-IN"/>
              </w:rPr>
              <w:t xml:space="preserve"> — confirming its smaller operational scale.</w:t>
            </w:r>
          </w:p>
        </w:tc>
      </w:tr>
      <w:tr w:rsidR="000A6C7D" w:rsidRPr="000A6C7D" w14:paraId="6A4748C5" w14:textId="77777777" w:rsidTr="000A6C7D">
        <w:trPr>
          <w:tblCellSpacing w:w="15" w:type="dxa"/>
        </w:trPr>
        <w:tc>
          <w:tcPr>
            <w:tcW w:w="0" w:type="auto"/>
            <w:vAlign w:val="center"/>
            <w:hideMark/>
          </w:tcPr>
          <w:p w14:paraId="435CC920"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No Strong Seasonal Separation</w:t>
            </w:r>
          </w:p>
        </w:tc>
        <w:tc>
          <w:tcPr>
            <w:tcW w:w="0" w:type="auto"/>
            <w:vAlign w:val="center"/>
            <w:hideMark/>
          </w:tcPr>
          <w:p w14:paraId="599CAA8A"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Kharif and Rabi entries are interspersed across both PCs — suggesting </w:t>
            </w:r>
            <w:r w:rsidRPr="000A6C7D">
              <w:rPr>
                <w:rFonts w:ascii="Times New Roman" w:eastAsia="Times New Roman" w:hAnsi="Times New Roman" w:cs="Times New Roman"/>
                <w:b/>
                <w:bCs/>
                <w:sz w:val="24"/>
                <w:szCs w:val="24"/>
                <w:lang w:eastAsia="en-IN"/>
              </w:rPr>
              <w:t>season does not strongly impact</w:t>
            </w:r>
            <w:r w:rsidRPr="000A6C7D">
              <w:rPr>
                <w:rFonts w:ascii="Times New Roman" w:eastAsia="Times New Roman" w:hAnsi="Times New Roman" w:cs="Times New Roman"/>
                <w:sz w:val="24"/>
                <w:szCs w:val="24"/>
                <w:lang w:eastAsia="en-IN"/>
              </w:rPr>
              <w:t xml:space="preserve"> financial or demographic variance.</w:t>
            </w:r>
          </w:p>
        </w:tc>
      </w:tr>
    </w:tbl>
    <w:p w14:paraId="4BBFA933"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pict w14:anchorId="770E9A45">
          <v:rect id="_x0000_i1054" style="width:0;height:1.5pt" o:hralign="center" o:hrstd="t" o:hr="t" fillcolor="#a0a0a0" stroked="f"/>
        </w:pict>
      </w:r>
    </w:p>
    <w:p w14:paraId="12CAD821" w14:textId="77777777" w:rsidR="000A6C7D" w:rsidRPr="000A6C7D" w:rsidRDefault="000A6C7D" w:rsidP="000A6C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C7D">
        <w:rPr>
          <w:rFonts w:ascii="Segoe UI Emoji" w:eastAsia="Times New Roman" w:hAnsi="Segoe UI Emoji" w:cs="Segoe UI Emoji"/>
          <w:b/>
          <w:bCs/>
          <w:sz w:val="27"/>
          <w:szCs w:val="27"/>
          <w:lang w:eastAsia="en-IN"/>
        </w:rPr>
        <w:t>🧠</w:t>
      </w:r>
      <w:r w:rsidRPr="000A6C7D">
        <w:rPr>
          <w:rFonts w:ascii="Times New Roman" w:eastAsia="Times New Roman" w:hAnsi="Times New Roman" w:cs="Times New Roman"/>
          <w:b/>
          <w:bCs/>
          <w:sz w:val="27"/>
          <w:szCs w:val="27"/>
          <w:lang w:eastAsia="en-IN"/>
        </w:rPr>
        <w:t xml:space="preserve"> Strategic Insights &amp; Applications</w:t>
      </w:r>
    </w:p>
    <w:p w14:paraId="0AD23239" w14:textId="77777777" w:rsidR="000A6C7D" w:rsidRPr="000A6C7D" w:rsidRDefault="000A6C7D" w:rsidP="000A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PC1 helps identify</w:t>
      </w:r>
      <w:r w:rsidRPr="000A6C7D">
        <w:rPr>
          <w:rFonts w:ascii="Times New Roman" w:eastAsia="Times New Roman" w:hAnsi="Times New Roman" w:cs="Times New Roman"/>
          <w:sz w:val="24"/>
          <w:szCs w:val="24"/>
          <w:lang w:eastAsia="en-IN"/>
        </w:rPr>
        <w:t xml:space="preserve"> financially intensive districts, enabling </w:t>
      </w:r>
      <w:r w:rsidRPr="000A6C7D">
        <w:rPr>
          <w:rFonts w:ascii="Times New Roman" w:eastAsia="Times New Roman" w:hAnsi="Times New Roman" w:cs="Times New Roman"/>
          <w:b/>
          <w:bCs/>
          <w:sz w:val="24"/>
          <w:szCs w:val="24"/>
          <w:lang w:eastAsia="en-IN"/>
        </w:rPr>
        <w:t>resource prioritization</w:t>
      </w:r>
      <w:r w:rsidRPr="000A6C7D">
        <w:rPr>
          <w:rFonts w:ascii="Times New Roman" w:eastAsia="Times New Roman" w:hAnsi="Times New Roman" w:cs="Times New Roman"/>
          <w:sz w:val="24"/>
          <w:szCs w:val="24"/>
          <w:lang w:eastAsia="en-IN"/>
        </w:rPr>
        <w:t>.</w:t>
      </w:r>
    </w:p>
    <w:p w14:paraId="3CDD6C14" w14:textId="77777777" w:rsidR="000A6C7D" w:rsidRPr="000A6C7D" w:rsidRDefault="000A6C7D" w:rsidP="000A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PC2 provides a lens</w:t>
      </w:r>
      <w:r w:rsidRPr="000A6C7D">
        <w:rPr>
          <w:rFonts w:ascii="Times New Roman" w:eastAsia="Times New Roman" w:hAnsi="Times New Roman" w:cs="Times New Roman"/>
          <w:sz w:val="24"/>
          <w:szCs w:val="24"/>
          <w:lang w:eastAsia="en-IN"/>
        </w:rPr>
        <w:t xml:space="preserve"> for </w:t>
      </w:r>
      <w:r w:rsidRPr="000A6C7D">
        <w:rPr>
          <w:rFonts w:ascii="Times New Roman" w:eastAsia="Times New Roman" w:hAnsi="Times New Roman" w:cs="Times New Roman"/>
          <w:b/>
          <w:bCs/>
          <w:sz w:val="24"/>
          <w:szCs w:val="24"/>
          <w:lang w:eastAsia="en-IN"/>
        </w:rPr>
        <w:t>social equity analysis</w:t>
      </w:r>
      <w:r w:rsidRPr="000A6C7D">
        <w:rPr>
          <w:rFonts w:ascii="Times New Roman" w:eastAsia="Times New Roman" w:hAnsi="Times New Roman" w:cs="Times New Roman"/>
          <w:sz w:val="24"/>
          <w:szCs w:val="24"/>
          <w:lang w:eastAsia="en-IN"/>
        </w:rPr>
        <w:t xml:space="preserve"> in crop insurance access.</w:t>
      </w:r>
    </w:p>
    <w:p w14:paraId="15881E06" w14:textId="77777777" w:rsidR="000A6C7D" w:rsidRPr="000A6C7D" w:rsidRDefault="000A6C7D" w:rsidP="000A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The PCA scatter plot can be used to </w:t>
      </w:r>
      <w:r w:rsidRPr="000A6C7D">
        <w:rPr>
          <w:rFonts w:ascii="Times New Roman" w:eastAsia="Times New Roman" w:hAnsi="Times New Roman" w:cs="Times New Roman"/>
          <w:b/>
          <w:bCs/>
          <w:sz w:val="24"/>
          <w:szCs w:val="24"/>
          <w:lang w:eastAsia="en-IN"/>
        </w:rPr>
        <w:t>cluster and label regions</w:t>
      </w:r>
      <w:r w:rsidRPr="000A6C7D">
        <w:rPr>
          <w:rFonts w:ascii="Times New Roman" w:eastAsia="Times New Roman" w:hAnsi="Times New Roman" w:cs="Times New Roman"/>
          <w:sz w:val="24"/>
          <w:szCs w:val="24"/>
          <w:lang w:eastAsia="en-IN"/>
        </w:rPr>
        <w:t xml:space="preserve"> for targeted policy interventions.</w:t>
      </w:r>
    </w:p>
    <w:p w14:paraId="21F48F18" w14:textId="77777777" w:rsidR="000A6C7D" w:rsidRPr="000A6C7D" w:rsidRDefault="000A6C7D" w:rsidP="000A6C7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Overlaying </w:t>
      </w:r>
      <w:r w:rsidRPr="000A6C7D">
        <w:rPr>
          <w:rFonts w:ascii="Courier New" w:eastAsia="Times New Roman" w:hAnsi="Courier New" w:cs="Courier New"/>
          <w:sz w:val="20"/>
          <w:szCs w:val="20"/>
          <w:lang w:eastAsia="en-IN"/>
        </w:rPr>
        <w:t>hue='scheme'</w:t>
      </w:r>
      <w:r w:rsidRPr="000A6C7D">
        <w:rPr>
          <w:rFonts w:ascii="Times New Roman" w:eastAsia="Times New Roman" w:hAnsi="Times New Roman" w:cs="Times New Roman"/>
          <w:sz w:val="24"/>
          <w:szCs w:val="24"/>
          <w:lang w:eastAsia="en-IN"/>
        </w:rPr>
        <w:t xml:space="preserve"> and </w:t>
      </w:r>
      <w:r w:rsidRPr="000A6C7D">
        <w:rPr>
          <w:rFonts w:ascii="Courier New" w:eastAsia="Times New Roman" w:hAnsi="Courier New" w:cs="Courier New"/>
          <w:sz w:val="20"/>
          <w:szCs w:val="20"/>
          <w:lang w:eastAsia="en-IN"/>
        </w:rPr>
        <w:t>style='season'</w:t>
      </w:r>
      <w:r w:rsidRPr="000A6C7D">
        <w:rPr>
          <w:rFonts w:ascii="Times New Roman" w:eastAsia="Times New Roman" w:hAnsi="Times New Roman" w:cs="Times New Roman"/>
          <w:sz w:val="24"/>
          <w:szCs w:val="24"/>
          <w:lang w:eastAsia="en-IN"/>
        </w:rPr>
        <w:t xml:space="preserve"> reveals </w:t>
      </w:r>
      <w:r w:rsidRPr="000A6C7D">
        <w:rPr>
          <w:rFonts w:ascii="Times New Roman" w:eastAsia="Times New Roman" w:hAnsi="Times New Roman" w:cs="Times New Roman"/>
          <w:b/>
          <w:bCs/>
          <w:sz w:val="24"/>
          <w:szCs w:val="24"/>
          <w:lang w:eastAsia="en-IN"/>
        </w:rPr>
        <w:t>hidden groupings</w:t>
      </w:r>
      <w:r w:rsidRPr="000A6C7D">
        <w:rPr>
          <w:rFonts w:ascii="Times New Roman" w:eastAsia="Times New Roman" w:hAnsi="Times New Roman" w:cs="Times New Roman"/>
          <w:sz w:val="24"/>
          <w:szCs w:val="24"/>
          <w:lang w:eastAsia="en-IN"/>
        </w:rPr>
        <w:t xml:space="preserve"> and can support </w:t>
      </w:r>
      <w:r w:rsidRPr="000A6C7D">
        <w:rPr>
          <w:rFonts w:ascii="Times New Roman" w:eastAsia="Times New Roman" w:hAnsi="Times New Roman" w:cs="Times New Roman"/>
          <w:b/>
          <w:bCs/>
          <w:sz w:val="24"/>
          <w:szCs w:val="24"/>
          <w:lang w:eastAsia="en-IN"/>
        </w:rPr>
        <w:t>segment-level diagnostics</w:t>
      </w:r>
      <w:r w:rsidRPr="000A6C7D">
        <w:rPr>
          <w:rFonts w:ascii="Times New Roman" w:eastAsia="Times New Roman" w:hAnsi="Times New Roman" w:cs="Times New Roman"/>
          <w:sz w:val="24"/>
          <w:szCs w:val="24"/>
          <w:lang w:eastAsia="en-IN"/>
        </w:rPr>
        <w:t>.</w:t>
      </w:r>
    </w:p>
    <w:p w14:paraId="3E224710" w14:textId="77777777" w:rsidR="000A6C7D" w:rsidRPr="000A6C7D" w:rsidRDefault="000A6C7D" w:rsidP="000A6C7D">
      <w:pPr>
        <w:spacing w:after="0"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pict w14:anchorId="06414946">
          <v:rect id="_x0000_i1055" style="width:0;height:1.5pt" o:hralign="center" o:hrstd="t" o:hr="t" fillcolor="#a0a0a0" stroked="f"/>
        </w:pict>
      </w:r>
    </w:p>
    <w:p w14:paraId="440D0542" w14:textId="77777777" w:rsidR="000A6C7D" w:rsidRPr="000A6C7D" w:rsidRDefault="000A6C7D" w:rsidP="000A6C7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6C7D">
        <w:rPr>
          <w:rFonts w:ascii="Segoe UI Emoji" w:eastAsia="Times New Roman" w:hAnsi="Segoe UI Emoji" w:cs="Segoe UI Emoji"/>
          <w:b/>
          <w:bCs/>
          <w:sz w:val="27"/>
          <w:szCs w:val="27"/>
          <w:lang w:eastAsia="en-IN"/>
        </w:rPr>
        <w:t>✅</w:t>
      </w:r>
      <w:r w:rsidRPr="000A6C7D">
        <w:rPr>
          <w:rFonts w:ascii="Times New Roman" w:eastAsia="Times New Roman" w:hAnsi="Times New Roman" w:cs="Times New Roman"/>
          <w:b/>
          <w:bCs/>
          <w:sz w:val="27"/>
          <w:szCs w:val="27"/>
          <w:lang w:eastAsia="en-IN"/>
        </w:rPr>
        <w:t xml:space="preserve"> Final Conclusion</w:t>
      </w:r>
    </w:p>
    <w:p w14:paraId="428F83A7"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The PCA confirms two dominant dimensions in the dataset:</w:t>
      </w:r>
    </w:p>
    <w:p w14:paraId="16BA6CDF" w14:textId="77777777" w:rsidR="000A6C7D" w:rsidRPr="000A6C7D" w:rsidRDefault="000A6C7D" w:rsidP="000A6C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Scale of Insurance (PC1)</w:t>
      </w:r>
      <w:r w:rsidRPr="000A6C7D">
        <w:rPr>
          <w:rFonts w:ascii="Times New Roman" w:eastAsia="Times New Roman" w:hAnsi="Times New Roman" w:cs="Times New Roman"/>
          <w:sz w:val="24"/>
          <w:szCs w:val="24"/>
          <w:lang w:eastAsia="en-IN"/>
        </w:rPr>
        <w:t xml:space="preserve"> — driven by financial and operational size.</w:t>
      </w:r>
    </w:p>
    <w:p w14:paraId="08EF5A44" w14:textId="77777777" w:rsidR="000A6C7D" w:rsidRPr="000A6C7D" w:rsidRDefault="000A6C7D" w:rsidP="000A6C7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b/>
          <w:bCs/>
          <w:sz w:val="24"/>
          <w:szCs w:val="24"/>
          <w:lang w:eastAsia="en-IN"/>
        </w:rPr>
        <w:t>Demographic Inclusivity (PC2)</w:t>
      </w:r>
      <w:r w:rsidRPr="000A6C7D">
        <w:rPr>
          <w:rFonts w:ascii="Times New Roman" w:eastAsia="Times New Roman" w:hAnsi="Times New Roman" w:cs="Times New Roman"/>
          <w:sz w:val="24"/>
          <w:szCs w:val="24"/>
          <w:lang w:eastAsia="en-IN"/>
        </w:rPr>
        <w:t xml:space="preserve"> — shaped by gender and caste/farmer-type proportions.</w:t>
      </w:r>
    </w:p>
    <w:p w14:paraId="61669F78" w14:textId="77777777" w:rsidR="000A6C7D" w:rsidRPr="000A6C7D" w:rsidRDefault="000A6C7D" w:rsidP="000A6C7D">
      <w:pPr>
        <w:spacing w:before="100" w:beforeAutospacing="1" w:after="100" w:afterAutospacing="1" w:line="240" w:lineRule="auto"/>
        <w:rPr>
          <w:rFonts w:ascii="Times New Roman" w:eastAsia="Times New Roman" w:hAnsi="Times New Roman" w:cs="Times New Roman"/>
          <w:sz w:val="24"/>
          <w:szCs w:val="24"/>
          <w:lang w:eastAsia="en-IN"/>
        </w:rPr>
      </w:pPr>
      <w:r w:rsidRPr="000A6C7D">
        <w:rPr>
          <w:rFonts w:ascii="Times New Roman" w:eastAsia="Times New Roman" w:hAnsi="Times New Roman" w:cs="Times New Roman"/>
          <w:sz w:val="24"/>
          <w:szCs w:val="24"/>
          <w:lang w:eastAsia="en-IN"/>
        </w:rPr>
        <w:t xml:space="preserve">This dimensionality reduction effectively separates and visualizes complex trends, enabling </w:t>
      </w:r>
      <w:r w:rsidRPr="000A6C7D">
        <w:rPr>
          <w:rFonts w:ascii="Times New Roman" w:eastAsia="Times New Roman" w:hAnsi="Times New Roman" w:cs="Times New Roman"/>
          <w:b/>
          <w:bCs/>
          <w:sz w:val="24"/>
          <w:szCs w:val="24"/>
          <w:lang w:eastAsia="en-IN"/>
        </w:rPr>
        <w:t>better targeting</w:t>
      </w:r>
      <w:r w:rsidRPr="000A6C7D">
        <w:rPr>
          <w:rFonts w:ascii="Times New Roman" w:eastAsia="Times New Roman" w:hAnsi="Times New Roman" w:cs="Times New Roman"/>
          <w:sz w:val="24"/>
          <w:szCs w:val="24"/>
          <w:lang w:eastAsia="en-IN"/>
        </w:rPr>
        <w:t xml:space="preserve">, </w:t>
      </w:r>
      <w:r w:rsidRPr="000A6C7D">
        <w:rPr>
          <w:rFonts w:ascii="Times New Roman" w:eastAsia="Times New Roman" w:hAnsi="Times New Roman" w:cs="Times New Roman"/>
          <w:b/>
          <w:bCs/>
          <w:sz w:val="24"/>
          <w:szCs w:val="24"/>
          <w:lang w:eastAsia="en-IN"/>
        </w:rPr>
        <w:t>more equitable implementation</w:t>
      </w:r>
      <w:r w:rsidRPr="000A6C7D">
        <w:rPr>
          <w:rFonts w:ascii="Times New Roman" w:eastAsia="Times New Roman" w:hAnsi="Times New Roman" w:cs="Times New Roman"/>
          <w:sz w:val="24"/>
          <w:szCs w:val="24"/>
          <w:lang w:eastAsia="en-IN"/>
        </w:rPr>
        <w:t xml:space="preserve">, and </w:t>
      </w:r>
      <w:r w:rsidRPr="000A6C7D">
        <w:rPr>
          <w:rFonts w:ascii="Times New Roman" w:eastAsia="Times New Roman" w:hAnsi="Times New Roman" w:cs="Times New Roman"/>
          <w:b/>
          <w:bCs/>
          <w:sz w:val="24"/>
          <w:szCs w:val="24"/>
          <w:lang w:eastAsia="en-IN"/>
        </w:rPr>
        <w:t>data-driven decision-making</w:t>
      </w:r>
      <w:r w:rsidRPr="000A6C7D">
        <w:rPr>
          <w:rFonts w:ascii="Times New Roman" w:eastAsia="Times New Roman" w:hAnsi="Times New Roman" w:cs="Times New Roman"/>
          <w:sz w:val="24"/>
          <w:szCs w:val="24"/>
          <w:lang w:eastAsia="en-IN"/>
        </w:rPr>
        <w:t xml:space="preserve"> in agricultural insurance planning.</w:t>
      </w:r>
    </w:p>
    <w:p w14:paraId="5D6FD3E0" w14:textId="77777777" w:rsidR="00E6612D" w:rsidRPr="00E6612D" w:rsidRDefault="00E6612D" w:rsidP="000A6C7D">
      <w:pPr>
        <w:rPr>
          <w:sz w:val="28"/>
          <w:szCs w:val="28"/>
        </w:rPr>
      </w:pPr>
    </w:p>
    <w:sectPr w:rsidR="00E6612D" w:rsidRPr="00E66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29659F"/>
    <w:multiLevelType w:val="multilevel"/>
    <w:tmpl w:val="BB5E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903C2"/>
    <w:multiLevelType w:val="multilevel"/>
    <w:tmpl w:val="C624E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274B0"/>
    <w:multiLevelType w:val="multilevel"/>
    <w:tmpl w:val="B928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D5A3B"/>
    <w:multiLevelType w:val="multilevel"/>
    <w:tmpl w:val="982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3DA2"/>
    <w:multiLevelType w:val="multilevel"/>
    <w:tmpl w:val="4610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4777A"/>
    <w:multiLevelType w:val="multilevel"/>
    <w:tmpl w:val="A84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A7615"/>
    <w:multiLevelType w:val="multilevel"/>
    <w:tmpl w:val="9288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3503B"/>
    <w:multiLevelType w:val="multilevel"/>
    <w:tmpl w:val="75B0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B69EB"/>
    <w:multiLevelType w:val="multilevel"/>
    <w:tmpl w:val="6382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F087F"/>
    <w:multiLevelType w:val="multilevel"/>
    <w:tmpl w:val="4BE6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F67DF"/>
    <w:multiLevelType w:val="multilevel"/>
    <w:tmpl w:val="2826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D3D01"/>
    <w:multiLevelType w:val="multilevel"/>
    <w:tmpl w:val="04A8F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607B2"/>
    <w:multiLevelType w:val="multilevel"/>
    <w:tmpl w:val="E04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516E35"/>
    <w:multiLevelType w:val="multilevel"/>
    <w:tmpl w:val="60F4F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92C3C"/>
    <w:multiLevelType w:val="multilevel"/>
    <w:tmpl w:val="74BE2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7C5BD5"/>
    <w:multiLevelType w:val="multilevel"/>
    <w:tmpl w:val="6CD81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6"/>
  </w:num>
  <w:num w:numId="4">
    <w:abstractNumId w:val="12"/>
  </w:num>
  <w:num w:numId="5">
    <w:abstractNumId w:val="5"/>
  </w:num>
  <w:num w:numId="6">
    <w:abstractNumId w:val="4"/>
  </w:num>
  <w:num w:numId="7">
    <w:abstractNumId w:val="9"/>
  </w:num>
  <w:num w:numId="8">
    <w:abstractNumId w:val="0"/>
  </w:num>
  <w:num w:numId="9">
    <w:abstractNumId w:val="14"/>
  </w:num>
  <w:num w:numId="10">
    <w:abstractNumId w:val="13"/>
  </w:num>
  <w:num w:numId="11">
    <w:abstractNumId w:val="1"/>
  </w:num>
  <w:num w:numId="12">
    <w:abstractNumId w:val="2"/>
  </w:num>
  <w:num w:numId="13">
    <w:abstractNumId w:val="3"/>
  </w:num>
  <w:num w:numId="14">
    <w:abstractNumId w:val="7"/>
  </w:num>
  <w:num w:numId="15">
    <w:abstractNumId w:val="1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04"/>
    <w:rsid w:val="000A6C7D"/>
    <w:rsid w:val="001A114C"/>
    <w:rsid w:val="001E0193"/>
    <w:rsid w:val="002078AE"/>
    <w:rsid w:val="00624E29"/>
    <w:rsid w:val="006A54D2"/>
    <w:rsid w:val="00734934"/>
    <w:rsid w:val="00911432"/>
    <w:rsid w:val="00BC3C2E"/>
    <w:rsid w:val="00E40104"/>
    <w:rsid w:val="00E44B7E"/>
    <w:rsid w:val="00E66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EBB05"/>
  <w15:chartTrackingRefBased/>
  <w15:docId w15:val="{DCE8CD73-1E6C-4F4A-9A03-5E38ACBC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11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11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11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114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A114C"/>
    <w:rPr>
      <w:b/>
      <w:bCs/>
    </w:rPr>
  </w:style>
  <w:style w:type="paragraph" w:styleId="NormalWeb">
    <w:name w:val="Normal (Web)"/>
    <w:basedOn w:val="Normal"/>
    <w:uiPriority w:val="99"/>
    <w:semiHidden/>
    <w:unhideWhenUsed/>
    <w:rsid w:val="001A11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1A114C"/>
    <w:rPr>
      <w:rFonts w:ascii="Courier New" w:eastAsia="Times New Roman" w:hAnsi="Courier New" w:cs="Courier New"/>
      <w:sz w:val="20"/>
      <w:szCs w:val="20"/>
    </w:rPr>
  </w:style>
  <w:style w:type="character" w:customStyle="1" w:styleId="citation-239">
    <w:name w:val="citation-239"/>
    <w:basedOn w:val="DefaultParagraphFont"/>
    <w:rsid w:val="00BC3C2E"/>
  </w:style>
  <w:style w:type="character" w:customStyle="1" w:styleId="citation-238">
    <w:name w:val="citation-238"/>
    <w:basedOn w:val="DefaultParagraphFont"/>
    <w:rsid w:val="00BC3C2E"/>
  </w:style>
  <w:style w:type="character" w:customStyle="1" w:styleId="citation-237">
    <w:name w:val="citation-237"/>
    <w:basedOn w:val="DefaultParagraphFont"/>
    <w:rsid w:val="00BC3C2E"/>
  </w:style>
  <w:style w:type="character" w:customStyle="1" w:styleId="citation-236">
    <w:name w:val="citation-236"/>
    <w:basedOn w:val="DefaultParagraphFont"/>
    <w:rsid w:val="00BC3C2E"/>
  </w:style>
  <w:style w:type="character" w:customStyle="1" w:styleId="citation-235">
    <w:name w:val="citation-235"/>
    <w:basedOn w:val="DefaultParagraphFont"/>
    <w:rsid w:val="00BC3C2E"/>
  </w:style>
  <w:style w:type="character" w:customStyle="1" w:styleId="citation-234">
    <w:name w:val="citation-234"/>
    <w:basedOn w:val="DefaultParagraphFont"/>
    <w:rsid w:val="00BC3C2E"/>
  </w:style>
  <w:style w:type="character" w:customStyle="1" w:styleId="citation-233">
    <w:name w:val="citation-233"/>
    <w:basedOn w:val="DefaultParagraphFont"/>
    <w:rsid w:val="00BC3C2E"/>
  </w:style>
  <w:style w:type="character" w:customStyle="1" w:styleId="citation-232">
    <w:name w:val="citation-232"/>
    <w:basedOn w:val="DefaultParagraphFont"/>
    <w:rsid w:val="00BC3C2E"/>
  </w:style>
  <w:style w:type="character" w:customStyle="1" w:styleId="citation-251">
    <w:name w:val="citation-251"/>
    <w:basedOn w:val="DefaultParagraphFont"/>
    <w:rsid w:val="00E44B7E"/>
  </w:style>
  <w:style w:type="character" w:customStyle="1" w:styleId="citation-250">
    <w:name w:val="citation-250"/>
    <w:basedOn w:val="DefaultParagraphFont"/>
    <w:rsid w:val="00E44B7E"/>
  </w:style>
  <w:style w:type="character" w:customStyle="1" w:styleId="citation-249">
    <w:name w:val="citation-249"/>
    <w:basedOn w:val="DefaultParagraphFont"/>
    <w:rsid w:val="00E44B7E"/>
  </w:style>
  <w:style w:type="character" w:customStyle="1" w:styleId="citation-248">
    <w:name w:val="citation-248"/>
    <w:basedOn w:val="DefaultParagraphFont"/>
    <w:rsid w:val="00E44B7E"/>
  </w:style>
  <w:style w:type="character" w:customStyle="1" w:styleId="citation-247">
    <w:name w:val="citation-247"/>
    <w:basedOn w:val="DefaultParagraphFont"/>
    <w:rsid w:val="00E44B7E"/>
  </w:style>
  <w:style w:type="character" w:customStyle="1" w:styleId="citation-246">
    <w:name w:val="citation-246"/>
    <w:basedOn w:val="DefaultParagraphFont"/>
    <w:rsid w:val="00E44B7E"/>
  </w:style>
  <w:style w:type="character" w:customStyle="1" w:styleId="citation-265">
    <w:name w:val="citation-265"/>
    <w:basedOn w:val="DefaultParagraphFont"/>
    <w:rsid w:val="00911432"/>
  </w:style>
  <w:style w:type="character" w:customStyle="1" w:styleId="citation-264">
    <w:name w:val="citation-264"/>
    <w:basedOn w:val="DefaultParagraphFont"/>
    <w:rsid w:val="00911432"/>
  </w:style>
  <w:style w:type="character" w:customStyle="1" w:styleId="citation-263">
    <w:name w:val="citation-263"/>
    <w:basedOn w:val="DefaultParagraphFont"/>
    <w:rsid w:val="00911432"/>
  </w:style>
  <w:style w:type="character" w:customStyle="1" w:styleId="citation-262">
    <w:name w:val="citation-262"/>
    <w:basedOn w:val="DefaultParagraphFont"/>
    <w:rsid w:val="00911432"/>
  </w:style>
  <w:style w:type="character" w:customStyle="1" w:styleId="citation-261">
    <w:name w:val="citation-261"/>
    <w:basedOn w:val="DefaultParagraphFont"/>
    <w:rsid w:val="00911432"/>
  </w:style>
  <w:style w:type="character" w:customStyle="1" w:styleId="citation-260">
    <w:name w:val="citation-260"/>
    <w:basedOn w:val="DefaultParagraphFont"/>
    <w:rsid w:val="00911432"/>
  </w:style>
  <w:style w:type="character" w:customStyle="1" w:styleId="citation-259">
    <w:name w:val="citation-259"/>
    <w:basedOn w:val="DefaultParagraphFont"/>
    <w:rsid w:val="00911432"/>
  </w:style>
  <w:style w:type="character" w:customStyle="1" w:styleId="citation-275">
    <w:name w:val="citation-275"/>
    <w:basedOn w:val="DefaultParagraphFont"/>
    <w:rsid w:val="00734934"/>
  </w:style>
  <w:style w:type="character" w:customStyle="1" w:styleId="citation-274">
    <w:name w:val="citation-274"/>
    <w:basedOn w:val="DefaultParagraphFont"/>
    <w:rsid w:val="00734934"/>
  </w:style>
  <w:style w:type="character" w:customStyle="1" w:styleId="citation-273">
    <w:name w:val="citation-273"/>
    <w:basedOn w:val="DefaultParagraphFont"/>
    <w:rsid w:val="00734934"/>
  </w:style>
  <w:style w:type="character" w:customStyle="1" w:styleId="citation-272">
    <w:name w:val="citation-272"/>
    <w:basedOn w:val="DefaultParagraphFont"/>
    <w:rsid w:val="00734934"/>
  </w:style>
  <w:style w:type="character" w:customStyle="1" w:styleId="citation-271">
    <w:name w:val="citation-271"/>
    <w:basedOn w:val="DefaultParagraphFont"/>
    <w:rsid w:val="00734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27531">
      <w:bodyDiv w:val="1"/>
      <w:marLeft w:val="0"/>
      <w:marRight w:val="0"/>
      <w:marTop w:val="0"/>
      <w:marBottom w:val="0"/>
      <w:divBdr>
        <w:top w:val="none" w:sz="0" w:space="0" w:color="auto"/>
        <w:left w:val="none" w:sz="0" w:space="0" w:color="auto"/>
        <w:bottom w:val="none" w:sz="0" w:space="0" w:color="auto"/>
        <w:right w:val="none" w:sz="0" w:space="0" w:color="auto"/>
      </w:divBdr>
    </w:div>
    <w:div w:id="72508340">
      <w:bodyDiv w:val="1"/>
      <w:marLeft w:val="0"/>
      <w:marRight w:val="0"/>
      <w:marTop w:val="0"/>
      <w:marBottom w:val="0"/>
      <w:divBdr>
        <w:top w:val="none" w:sz="0" w:space="0" w:color="auto"/>
        <w:left w:val="none" w:sz="0" w:space="0" w:color="auto"/>
        <w:bottom w:val="none" w:sz="0" w:space="0" w:color="auto"/>
        <w:right w:val="none" w:sz="0" w:space="0" w:color="auto"/>
      </w:divBdr>
      <w:divsChild>
        <w:div w:id="2114015011">
          <w:marLeft w:val="0"/>
          <w:marRight w:val="0"/>
          <w:marTop w:val="0"/>
          <w:marBottom w:val="0"/>
          <w:divBdr>
            <w:top w:val="none" w:sz="0" w:space="0" w:color="auto"/>
            <w:left w:val="none" w:sz="0" w:space="0" w:color="auto"/>
            <w:bottom w:val="none" w:sz="0" w:space="0" w:color="auto"/>
            <w:right w:val="none" w:sz="0" w:space="0" w:color="auto"/>
          </w:divBdr>
          <w:divsChild>
            <w:div w:id="73204639">
              <w:marLeft w:val="0"/>
              <w:marRight w:val="0"/>
              <w:marTop w:val="0"/>
              <w:marBottom w:val="0"/>
              <w:divBdr>
                <w:top w:val="none" w:sz="0" w:space="0" w:color="auto"/>
                <w:left w:val="none" w:sz="0" w:space="0" w:color="auto"/>
                <w:bottom w:val="none" w:sz="0" w:space="0" w:color="auto"/>
                <w:right w:val="none" w:sz="0" w:space="0" w:color="auto"/>
              </w:divBdr>
            </w:div>
          </w:divsChild>
        </w:div>
        <w:div w:id="450317742">
          <w:marLeft w:val="0"/>
          <w:marRight w:val="0"/>
          <w:marTop w:val="0"/>
          <w:marBottom w:val="0"/>
          <w:divBdr>
            <w:top w:val="none" w:sz="0" w:space="0" w:color="auto"/>
            <w:left w:val="none" w:sz="0" w:space="0" w:color="auto"/>
            <w:bottom w:val="none" w:sz="0" w:space="0" w:color="auto"/>
            <w:right w:val="none" w:sz="0" w:space="0" w:color="auto"/>
          </w:divBdr>
          <w:divsChild>
            <w:div w:id="362023454">
              <w:marLeft w:val="0"/>
              <w:marRight w:val="0"/>
              <w:marTop w:val="0"/>
              <w:marBottom w:val="0"/>
              <w:divBdr>
                <w:top w:val="none" w:sz="0" w:space="0" w:color="auto"/>
                <w:left w:val="none" w:sz="0" w:space="0" w:color="auto"/>
                <w:bottom w:val="none" w:sz="0" w:space="0" w:color="auto"/>
                <w:right w:val="none" w:sz="0" w:space="0" w:color="auto"/>
              </w:divBdr>
            </w:div>
          </w:divsChild>
        </w:div>
        <w:div w:id="480804074">
          <w:marLeft w:val="0"/>
          <w:marRight w:val="0"/>
          <w:marTop w:val="0"/>
          <w:marBottom w:val="0"/>
          <w:divBdr>
            <w:top w:val="none" w:sz="0" w:space="0" w:color="auto"/>
            <w:left w:val="none" w:sz="0" w:space="0" w:color="auto"/>
            <w:bottom w:val="none" w:sz="0" w:space="0" w:color="auto"/>
            <w:right w:val="none" w:sz="0" w:space="0" w:color="auto"/>
          </w:divBdr>
          <w:divsChild>
            <w:div w:id="661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1690">
      <w:bodyDiv w:val="1"/>
      <w:marLeft w:val="0"/>
      <w:marRight w:val="0"/>
      <w:marTop w:val="0"/>
      <w:marBottom w:val="0"/>
      <w:divBdr>
        <w:top w:val="none" w:sz="0" w:space="0" w:color="auto"/>
        <w:left w:val="none" w:sz="0" w:space="0" w:color="auto"/>
        <w:bottom w:val="none" w:sz="0" w:space="0" w:color="auto"/>
        <w:right w:val="none" w:sz="0" w:space="0" w:color="auto"/>
      </w:divBdr>
    </w:div>
    <w:div w:id="672757107">
      <w:bodyDiv w:val="1"/>
      <w:marLeft w:val="0"/>
      <w:marRight w:val="0"/>
      <w:marTop w:val="0"/>
      <w:marBottom w:val="0"/>
      <w:divBdr>
        <w:top w:val="none" w:sz="0" w:space="0" w:color="auto"/>
        <w:left w:val="none" w:sz="0" w:space="0" w:color="auto"/>
        <w:bottom w:val="none" w:sz="0" w:space="0" w:color="auto"/>
        <w:right w:val="none" w:sz="0" w:space="0" w:color="auto"/>
      </w:divBdr>
      <w:divsChild>
        <w:div w:id="248004639">
          <w:marLeft w:val="0"/>
          <w:marRight w:val="0"/>
          <w:marTop w:val="0"/>
          <w:marBottom w:val="0"/>
          <w:divBdr>
            <w:top w:val="none" w:sz="0" w:space="0" w:color="auto"/>
            <w:left w:val="none" w:sz="0" w:space="0" w:color="auto"/>
            <w:bottom w:val="none" w:sz="0" w:space="0" w:color="auto"/>
            <w:right w:val="none" w:sz="0" w:space="0" w:color="auto"/>
          </w:divBdr>
          <w:divsChild>
            <w:div w:id="748112071">
              <w:marLeft w:val="0"/>
              <w:marRight w:val="0"/>
              <w:marTop w:val="0"/>
              <w:marBottom w:val="0"/>
              <w:divBdr>
                <w:top w:val="none" w:sz="0" w:space="0" w:color="auto"/>
                <w:left w:val="none" w:sz="0" w:space="0" w:color="auto"/>
                <w:bottom w:val="none" w:sz="0" w:space="0" w:color="auto"/>
                <w:right w:val="none" w:sz="0" w:space="0" w:color="auto"/>
              </w:divBdr>
            </w:div>
          </w:divsChild>
        </w:div>
        <w:div w:id="1383092494">
          <w:marLeft w:val="0"/>
          <w:marRight w:val="0"/>
          <w:marTop w:val="0"/>
          <w:marBottom w:val="0"/>
          <w:divBdr>
            <w:top w:val="none" w:sz="0" w:space="0" w:color="auto"/>
            <w:left w:val="none" w:sz="0" w:space="0" w:color="auto"/>
            <w:bottom w:val="none" w:sz="0" w:space="0" w:color="auto"/>
            <w:right w:val="none" w:sz="0" w:space="0" w:color="auto"/>
          </w:divBdr>
          <w:divsChild>
            <w:div w:id="1290159818">
              <w:marLeft w:val="0"/>
              <w:marRight w:val="0"/>
              <w:marTop w:val="0"/>
              <w:marBottom w:val="0"/>
              <w:divBdr>
                <w:top w:val="none" w:sz="0" w:space="0" w:color="auto"/>
                <w:left w:val="none" w:sz="0" w:space="0" w:color="auto"/>
                <w:bottom w:val="none" w:sz="0" w:space="0" w:color="auto"/>
                <w:right w:val="none" w:sz="0" w:space="0" w:color="auto"/>
              </w:divBdr>
            </w:div>
          </w:divsChild>
        </w:div>
        <w:div w:id="522743007">
          <w:marLeft w:val="0"/>
          <w:marRight w:val="0"/>
          <w:marTop w:val="0"/>
          <w:marBottom w:val="0"/>
          <w:divBdr>
            <w:top w:val="none" w:sz="0" w:space="0" w:color="auto"/>
            <w:left w:val="none" w:sz="0" w:space="0" w:color="auto"/>
            <w:bottom w:val="none" w:sz="0" w:space="0" w:color="auto"/>
            <w:right w:val="none" w:sz="0" w:space="0" w:color="auto"/>
          </w:divBdr>
          <w:divsChild>
            <w:div w:id="1786070936">
              <w:marLeft w:val="0"/>
              <w:marRight w:val="0"/>
              <w:marTop w:val="0"/>
              <w:marBottom w:val="0"/>
              <w:divBdr>
                <w:top w:val="none" w:sz="0" w:space="0" w:color="auto"/>
                <w:left w:val="none" w:sz="0" w:space="0" w:color="auto"/>
                <w:bottom w:val="none" w:sz="0" w:space="0" w:color="auto"/>
                <w:right w:val="none" w:sz="0" w:space="0" w:color="auto"/>
              </w:divBdr>
            </w:div>
          </w:divsChild>
        </w:div>
        <w:div w:id="46077761">
          <w:marLeft w:val="0"/>
          <w:marRight w:val="0"/>
          <w:marTop w:val="0"/>
          <w:marBottom w:val="0"/>
          <w:divBdr>
            <w:top w:val="none" w:sz="0" w:space="0" w:color="auto"/>
            <w:left w:val="none" w:sz="0" w:space="0" w:color="auto"/>
            <w:bottom w:val="none" w:sz="0" w:space="0" w:color="auto"/>
            <w:right w:val="none" w:sz="0" w:space="0" w:color="auto"/>
          </w:divBdr>
          <w:divsChild>
            <w:div w:id="84417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2821">
      <w:bodyDiv w:val="1"/>
      <w:marLeft w:val="0"/>
      <w:marRight w:val="0"/>
      <w:marTop w:val="0"/>
      <w:marBottom w:val="0"/>
      <w:divBdr>
        <w:top w:val="none" w:sz="0" w:space="0" w:color="auto"/>
        <w:left w:val="none" w:sz="0" w:space="0" w:color="auto"/>
        <w:bottom w:val="none" w:sz="0" w:space="0" w:color="auto"/>
        <w:right w:val="none" w:sz="0" w:space="0" w:color="auto"/>
      </w:divBdr>
      <w:divsChild>
        <w:div w:id="1220164021">
          <w:marLeft w:val="0"/>
          <w:marRight w:val="0"/>
          <w:marTop w:val="0"/>
          <w:marBottom w:val="0"/>
          <w:divBdr>
            <w:top w:val="none" w:sz="0" w:space="0" w:color="auto"/>
            <w:left w:val="none" w:sz="0" w:space="0" w:color="auto"/>
            <w:bottom w:val="none" w:sz="0" w:space="0" w:color="auto"/>
            <w:right w:val="none" w:sz="0" w:space="0" w:color="auto"/>
          </w:divBdr>
          <w:divsChild>
            <w:div w:id="644940445">
              <w:marLeft w:val="0"/>
              <w:marRight w:val="0"/>
              <w:marTop w:val="0"/>
              <w:marBottom w:val="0"/>
              <w:divBdr>
                <w:top w:val="none" w:sz="0" w:space="0" w:color="auto"/>
                <w:left w:val="none" w:sz="0" w:space="0" w:color="auto"/>
                <w:bottom w:val="none" w:sz="0" w:space="0" w:color="auto"/>
                <w:right w:val="none" w:sz="0" w:space="0" w:color="auto"/>
              </w:divBdr>
            </w:div>
          </w:divsChild>
        </w:div>
        <w:div w:id="112526153">
          <w:marLeft w:val="0"/>
          <w:marRight w:val="0"/>
          <w:marTop w:val="0"/>
          <w:marBottom w:val="0"/>
          <w:divBdr>
            <w:top w:val="none" w:sz="0" w:space="0" w:color="auto"/>
            <w:left w:val="none" w:sz="0" w:space="0" w:color="auto"/>
            <w:bottom w:val="none" w:sz="0" w:space="0" w:color="auto"/>
            <w:right w:val="none" w:sz="0" w:space="0" w:color="auto"/>
          </w:divBdr>
          <w:divsChild>
            <w:div w:id="10893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4718">
      <w:bodyDiv w:val="1"/>
      <w:marLeft w:val="0"/>
      <w:marRight w:val="0"/>
      <w:marTop w:val="0"/>
      <w:marBottom w:val="0"/>
      <w:divBdr>
        <w:top w:val="none" w:sz="0" w:space="0" w:color="auto"/>
        <w:left w:val="none" w:sz="0" w:space="0" w:color="auto"/>
        <w:bottom w:val="none" w:sz="0" w:space="0" w:color="auto"/>
        <w:right w:val="none" w:sz="0" w:space="0" w:color="auto"/>
      </w:divBdr>
    </w:div>
    <w:div w:id="1577738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1251</Words>
  <Characters>7132</Characters>
  <Application>Microsoft Office Word</Application>
  <DocSecurity>0</DocSecurity>
  <Lines>59</Lines>
  <Paragraphs>16</Paragraphs>
  <ScaleCrop>false</ScaleCrop>
  <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 Khan</dc:creator>
  <cp:keywords/>
  <dc:description/>
  <cp:lastModifiedBy>Ameen Khan</cp:lastModifiedBy>
  <cp:revision>11</cp:revision>
  <dcterms:created xsi:type="dcterms:W3CDTF">2025-07-29T10:17:00Z</dcterms:created>
  <dcterms:modified xsi:type="dcterms:W3CDTF">2025-07-29T10:42:00Z</dcterms:modified>
</cp:coreProperties>
</file>