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sz w:val="30"/>
        </w:rPr>
        <w:t>Global Climate and Energy Dataset Features</w:t>
      </w:r>
    </w:p>
    <w:p>
      <w:pPr>
        <w:spacing w:after="40"/>
      </w:pPr>
      <w:r>
        <w:rPr>
          <w:b/>
          <w:sz w:val="21"/>
        </w:rPr>
        <w:t>Important information about the dataset</w:t>
      </w:r>
    </w:p>
    <w:p>
      <w:pPr>
        <w:spacing w:after="60"/>
      </w:pPr>
      <w:r>
        <w:t>This dataset contains synthetic observations relating to climate, energy use, emissions and economic activity across a selection of countries from 2020 to 2024. The dataset has been adapted for this assessment.</w:t>
      </w:r>
    </w:p>
    <w:p>
      <w:pPr>
        <w:spacing w:after="140"/>
      </w:pPr>
      <w:r>
        <w:t>You must use the dataset supplied with the assessment. Do not download or substitute a seemingly similar version found online, as other versions may contain different columns or values and will not produce the expected analysis.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8496"/>
      </w:tblGrid>
      <w:tr>
        <w:trPr>
          <w:tblHeader w:val="true"/>
        </w:trPr>
        <w:tc>
          <w:tcPr>
            <w:tcW w:type="dxa" w:w="2952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Column name</w:t>
            </w:r>
          </w:p>
        </w:tc>
        <w:tc>
          <w:tcPr>
            <w:tcW w:type="dxa" w:w="8496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Explanation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Unnamed: 0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 numerical row index included in the dataset.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The date associated with each observation, covering the period from 2020 to 2024.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country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The country to which the observation relates.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The broad geographical region in which the country is located.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income_group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 broad classification of the country based on its income level.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avg_temperature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The average temperature recorded for the observation, measured in degrees Celsius.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humidity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The average relative humidity recorded for the observation, expressed as a percentage.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co2_emission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The estimated level of carbon dioxide emissions associated with the observation.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energy_consumption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The estimated amount of energy consumed during the observation period.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renewable_share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The proportion of energy supplied from renewable sources, expressed as a percentage.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urban_population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The proportion of the population living in urban areas, expressed as a percentage.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industrial_activity_index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An index representing the level of industrial activity. Higher values indicate greater industrial activity.</w:t>
            </w:r>
          </w:p>
        </w:tc>
      </w:tr>
      <w:tr>
        <w:tc>
          <w:tcPr>
            <w:tcW w:type="dxa" w:w="295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energy_price</w:t>
            </w:r>
          </w:p>
        </w:tc>
        <w:tc>
          <w:tcPr>
            <w:tcW w:type="dxa" w:w="849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An estimated energy price associated with the observation.</w:t>
            </w:r>
          </w:p>
        </w:tc>
      </w:tr>
    </w:tbl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Climate and Energy Dataset Features</dc:title>
  <dc:subject>Dataset feature descriptions for students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