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84339" w14:textId="3D5A8436" w:rsidR="003F6138" w:rsidRDefault="003F6138" w:rsidP="00314DC9">
      <w:pPr>
        <w:jc w:val="center"/>
        <w:rPr>
          <w:b/>
          <w:bCs/>
          <w:sz w:val="44"/>
          <w:szCs w:val="44"/>
        </w:rPr>
      </w:pPr>
      <w:r w:rsidRPr="00381A42">
        <w:rPr>
          <w:b/>
          <w:bCs/>
          <w:sz w:val="44"/>
          <w:szCs w:val="44"/>
        </w:rPr>
        <w:t>Stores Sales Analysis</w:t>
      </w:r>
    </w:p>
    <w:p w14:paraId="0DC80413" w14:textId="5EC771E4" w:rsidR="00381A42" w:rsidRDefault="00381A42" w:rsidP="00381A42">
      <w:pPr>
        <w:jc w:val="center"/>
        <w:rPr>
          <w:b/>
          <w:bCs/>
          <w:sz w:val="44"/>
          <w:szCs w:val="44"/>
        </w:rPr>
      </w:pPr>
      <w:r w:rsidRPr="00381A42">
        <w:rPr>
          <w:b/>
          <w:bCs/>
          <w:sz w:val="44"/>
          <w:szCs w:val="44"/>
        </w:rPr>
        <w:drawing>
          <wp:inline distT="0" distB="0" distL="0" distR="0" wp14:anchorId="24691A5C" wp14:editId="41417DF5">
            <wp:extent cx="5943600" cy="3874770"/>
            <wp:effectExtent l="0" t="0" r="0" b="0"/>
            <wp:docPr id="57719325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93251" name="Picture 1" descr="A graph with lines and numbers&#10;&#10;Description automatically generated"/>
                    <pic:cNvPicPr/>
                  </pic:nvPicPr>
                  <pic:blipFill>
                    <a:blip r:embed="rId5"/>
                    <a:stretch>
                      <a:fillRect/>
                    </a:stretch>
                  </pic:blipFill>
                  <pic:spPr>
                    <a:xfrm>
                      <a:off x="0" y="0"/>
                      <a:ext cx="5943600" cy="3874770"/>
                    </a:xfrm>
                    <a:prstGeom prst="rect">
                      <a:avLst/>
                    </a:prstGeom>
                  </pic:spPr>
                </pic:pic>
              </a:graphicData>
            </a:graphic>
          </wp:inline>
        </w:drawing>
      </w:r>
    </w:p>
    <w:p w14:paraId="0EE96DCB" w14:textId="4ABEBF92" w:rsidR="00A33439" w:rsidRPr="00314DC9" w:rsidRDefault="00A33439" w:rsidP="00314DC9">
      <w:pPr>
        <w:pStyle w:val="NormalWeb"/>
        <w:numPr>
          <w:ilvl w:val="0"/>
          <w:numId w:val="9"/>
        </w:numPr>
        <w:rPr>
          <w:rFonts w:ascii="Arial" w:hAnsi="Arial" w:cs="Arial"/>
          <w:b/>
          <w:bCs/>
          <w:sz w:val="32"/>
          <w:szCs w:val="32"/>
        </w:rPr>
      </w:pPr>
      <w:r w:rsidRPr="00314DC9">
        <w:rPr>
          <w:rFonts w:ascii="Arial" w:hAnsi="Arial" w:cs="Arial"/>
          <w:b/>
          <w:bCs/>
          <w:sz w:val="32"/>
          <w:szCs w:val="32"/>
        </w:rPr>
        <w:t xml:space="preserve">Total Units Sold by Year </w:t>
      </w:r>
    </w:p>
    <w:p w14:paraId="20944562" w14:textId="323CCA07" w:rsidR="00314DC9" w:rsidRPr="00314DC9" w:rsidRDefault="00A33439" w:rsidP="00314DC9">
      <w:pPr>
        <w:pStyle w:val="NormalWeb"/>
        <w:numPr>
          <w:ilvl w:val="0"/>
          <w:numId w:val="7"/>
        </w:numPr>
        <w:rPr>
          <w:rFonts w:ascii="Arial" w:hAnsi="Arial" w:cs="Arial"/>
          <w:sz w:val="32"/>
          <w:szCs w:val="32"/>
        </w:rPr>
      </w:pPr>
      <w:r w:rsidRPr="00314DC9">
        <w:rPr>
          <w:rFonts w:ascii="Arial" w:hAnsi="Arial" w:cs="Arial"/>
          <w:b/>
          <w:bCs/>
          <w:sz w:val="32"/>
          <w:szCs w:val="32"/>
        </w:rPr>
        <w:t>Analysis</w:t>
      </w:r>
      <w:r w:rsidRPr="00314DC9">
        <w:rPr>
          <w:rFonts w:ascii="Arial" w:hAnsi="Arial" w:cs="Arial"/>
          <w:sz w:val="32"/>
          <w:szCs w:val="32"/>
        </w:rPr>
        <w:t>: This line chart shows the trend of units sold over the years 2022 to 2024. There is an initial increase in sales from 2022 to 2023, but sales drastically dropped in 2024. The peak of sales was observed in 2023 with a notable decline in 2024, which could indicate external factors affecting sales in that year.</w:t>
      </w:r>
      <w:r w:rsidR="00314DC9">
        <w:rPr>
          <w:rFonts w:ascii="Arial" w:hAnsi="Arial" w:cs="Arial"/>
          <w:sz w:val="32"/>
          <w:szCs w:val="32"/>
        </w:rPr>
        <w:br/>
      </w:r>
    </w:p>
    <w:p w14:paraId="2D9963CB" w14:textId="620139A2" w:rsidR="00381A42" w:rsidRPr="00314DC9" w:rsidRDefault="00A33439" w:rsidP="00314DC9">
      <w:pPr>
        <w:pStyle w:val="NormalWeb"/>
        <w:numPr>
          <w:ilvl w:val="0"/>
          <w:numId w:val="7"/>
        </w:numPr>
        <w:rPr>
          <w:rFonts w:ascii="Arial" w:hAnsi="Arial" w:cs="Arial"/>
          <w:sz w:val="32"/>
          <w:szCs w:val="32"/>
        </w:rPr>
      </w:pPr>
      <w:r w:rsidRPr="00314DC9">
        <w:rPr>
          <w:rFonts w:ascii="Arial" w:hAnsi="Arial" w:cs="Arial"/>
          <w:b/>
          <w:bCs/>
          <w:sz w:val="32"/>
          <w:szCs w:val="32"/>
        </w:rPr>
        <w:t>Conclusion</w:t>
      </w:r>
      <w:r w:rsidRPr="00314DC9">
        <w:rPr>
          <w:rFonts w:ascii="Arial" w:hAnsi="Arial" w:cs="Arial"/>
          <w:sz w:val="32"/>
          <w:szCs w:val="32"/>
        </w:rPr>
        <w:t>: The company should investigate the factors leading to the steep decline in 2024 and take action to recover sales.</w:t>
      </w:r>
    </w:p>
    <w:p w14:paraId="11CE79E0" w14:textId="77777777" w:rsidR="00A33439" w:rsidRDefault="00A33439" w:rsidP="00A33439">
      <w:pPr>
        <w:rPr>
          <w:sz w:val="44"/>
          <w:szCs w:val="44"/>
        </w:rPr>
      </w:pPr>
    </w:p>
    <w:p w14:paraId="4ADD97F7" w14:textId="645AFDFB" w:rsidR="00A33439" w:rsidRPr="00A33439" w:rsidRDefault="00A33439" w:rsidP="00A33439">
      <w:pPr>
        <w:rPr>
          <w:sz w:val="44"/>
          <w:szCs w:val="44"/>
        </w:rPr>
      </w:pPr>
      <w:r w:rsidRPr="00A33439">
        <w:rPr>
          <w:sz w:val="44"/>
          <w:szCs w:val="44"/>
        </w:rPr>
        <w:lastRenderedPageBreak/>
        <w:drawing>
          <wp:inline distT="0" distB="0" distL="0" distR="0" wp14:anchorId="5A85676D" wp14:editId="7F2F3386">
            <wp:extent cx="5943600" cy="3600450"/>
            <wp:effectExtent l="0" t="0" r="0" b="0"/>
            <wp:docPr id="1712489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4BEFD264" w14:textId="77777777" w:rsidR="00314DC9" w:rsidRDefault="00314DC9" w:rsidP="00A33439">
      <w:pPr>
        <w:rPr>
          <w:b/>
          <w:bCs/>
          <w:sz w:val="44"/>
          <w:szCs w:val="44"/>
        </w:rPr>
      </w:pPr>
    </w:p>
    <w:p w14:paraId="03F7133A" w14:textId="65E80221" w:rsidR="00314DC9" w:rsidRPr="00314DC9" w:rsidRDefault="00A33439" w:rsidP="00314DC9">
      <w:pPr>
        <w:pStyle w:val="ListParagraph"/>
        <w:numPr>
          <w:ilvl w:val="0"/>
          <w:numId w:val="9"/>
        </w:numPr>
        <w:rPr>
          <w:rFonts w:ascii="Arial" w:hAnsi="Arial" w:cs="Arial"/>
          <w:b/>
          <w:bCs/>
          <w:sz w:val="32"/>
          <w:szCs w:val="32"/>
        </w:rPr>
      </w:pPr>
      <w:r w:rsidRPr="00314DC9">
        <w:rPr>
          <w:rFonts w:ascii="Arial" w:hAnsi="Arial" w:cs="Arial"/>
          <w:b/>
          <w:bCs/>
          <w:sz w:val="32"/>
          <w:szCs w:val="32"/>
        </w:rPr>
        <w:t xml:space="preserve">Sum of Profit by Region </w:t>
      </w:r>
      <w:r w:rsidR="00314DC9">
        <w:rPr>
          <w:rFonts w:ascii="Arial" w:hAnsi="Arial" w:cs="Arial"/>
          <w:b/>
          <w:bCs/>
          <w:sz w:val="32"/>
          <w:szCs w:val="32"/>
        </w:rPr>
        <w:br/>
      </w:r>
    </w:p>
    <w:p w14:paraId="55E05391" w14:textId="2CB5AE49" w:rsidR="00314DC9" w:rsidRPr="00314DC9" w:rsidRDefault="00A33439" w:rsidP="00314DC9">
      <w:pPr>
        <w:pStyle w:val="ListParagraph"/>
        <w:numPr>
          <w:ilvl w:val="0"/>
          <w:numId w:val="11"/>
        </w:numPr>
        <w:rPr>
          <w:rFonts w:ascii="Arial" w:hAnsi="Arial" w:cs="Arial"/>
          <w:b/>
          <w:bCs/>
          <w:sz w:val="32"/>
          <w:szCs w:val="32"/>
        </w:rPr>
      </w:pPr>
      <w:r w:rsidRPr="00314DC9">
        <w:rPr>
          <w:rFonts w:ascii="Arial" w:eastAsia="Times New Roman" w:hAnsi="Arial" w:cs="Arial"/>
          <w:b/>
          <w:bCs/>
          <w:sz w:val="32"/>
          <w:szCs w:val="32"/>
        </w:rPr>
        <w:t>Analysis</w:t>
      </w:r>
      <w:r w:rsidRPr="00314DC9">
        <w:rPr>
          <w:rFonts w:ascii="Arial" w:hAnsi="Arial" w:cs="Arial"/>
          <w:b/>
          <w:bCs/>
          <w:sz w:val="32"/>
          <w:szCs w:val="32"/>
        </w:rPr>
        <w:t xml:space="preserve">: </w:t>
      </w:r>
      <w:r w:rsidRPr="00314DC9">
        <w:rPr>
          <w:rFonts w:ascii="Arial" w:hAnsi="Arial" w:cs="Arial"/>
          <w:sz w:val="32"/>
          <w:szCs w:val="32"/>
        </w:rPr>
        <w:t>This donut chart breaks down the profit contribution from different regions. The West and South regions have the highest contributions, accounting for 27.05% and 27.6% of profits respectively. The East region contributes the least with 20.64%.</w:t>
      </w:r>
    </w:p>
    <w:p w14:paraId="39C3B825" w14:textId="77777777" w:rsidR="00A33439" w:rsidRPr="00314DC9" w:rsidRDefault="00A33439" w:rsidP="00314DC9">
      <w:pPr>
        <w:pStyle w:val="NormalWeb"/>
        <w:numPr>
          <w:ilvl w:val="0"/>
          <w:numId w:val="8"/>
        </w:numPr>
        <w:rPr>
          <w:rFonts w:ascii="Arial" w:hAnsi="Arial" w:cs="Arial"/>
          <w:b/>
          <w:bCs/>
          <w:sz w:val="32"/>
          <w:szCs w:val="32"/>
        </w:rPr>
      </w:pPr>
      <w:r w:rsidRPr="00A33439">
        <w:rPr>
          <w:rFonts w:ascii="Arial" w:hAnsi="Arial" w:cs="Arial"/>
          <w:b/>
          <w:bCs/>
          <w:sz w:val="32"/>
          <w:szCs w:val="32"/>
        </w:rPr>
        <w:t xml:space="preserve">Conclusion: </w:t>
      </w:r>
      <w:r w:rsidRPr="00A33439">
        <w:rPr>
          <w:rFonts w:ascii="Arial" w:hAnsi="Arial" w:cs="Arial"/>
          <w:sz w:val="32"/>
          <w:szCs w:val="32"/>
        </w:rPr>
        <w:t>The company should explore strategies to improve profitability in the East region while maintaining strong performance in the West and South.</w:t>
      </w:r>
    </w:p>
    <w:p w14:paraId="2E39A866" w14:textId="77777777" w:rsidR="00A33439" w:rsidRDefault="00A33439" w:rsidP="00A33439">
      <w:pPr>
        <w:rPr>
          <w:sz w:val="44"/>
          <w:szCs w:val="44"/>
        </w:rPr>
      </w:pPr>
    </w:p>
    <w:p w14:paraId="34E8271A" w14:textId="30743273" w:rsidR="00A33439" w:rsidRPr="00A33439" w:rsidRDefault="00A33439" w:rsidP="00A33439">
      <w:pPr>
        <w:rPr>
          <w:sz w:val="44"/>
          <w:szCs w:val="44"/>
        </w:rPr>
      </w:pPr>
      <w:r w:rsidRPr="00A33439">
        <w:rPr>
          <w:sz w:val="44"/>
          <w:szCs w:val="44"/>
        </w:rPr>
        <w:lastRenderedPageBreak/>
        <w:drawing>
          <wp:inline distT="0" distB="0" distL="0" distR="0" wp14:anchorId="7A694E27" wp14:editId="13BDBDBF">
            <wp:extent cx="5943600" cy="3709670"/>
            <wp:effectExtent l="0" t="0" r="0" b="5080"/>
            <wp:docPr id="147439230" name="Picture 4"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9230" name="Picture 4" descr="A graph with lines and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6BC66DA5" w14:textId="77777777" w:rsidR="00314DC9" w:rsidRDefault="00314DC9" w:rsidP="00A33439">
      <w:pPr>
        <w:rPr>
          <w:rFonts w:ascii="Arial" w:hAnsi="Arial" w:cs="Arial"/>
          <w:b/>
          <w:bCs/>
          <w:sz w:val="32"/>
          <w:szCs w:val="32"/>
        </w:rPr>
      </w:pPr>
    </w:p>
    <w:p w14:paraId="0D0775A5" w14:textId="1E09747C" w:rsidR="00A33439" w:rsidRPr="00314DC9" w:rsidRDefault="00314DC9" w:rsidP="00A33439">
      <w:pPr>
        <w:rPr>
          <w:rFonts w:ascii="Arial" w:hAnsi="Arial" w:cs="Arial"/>
          <w:b/>
          <w:bCs/>
          <w:sz w:val="32"/>
          <w:szCs w:val="32"/>
        </w:rPr>
      </w:pPr>
      <w:r w:rsidRPr="00314DC9">
        <w:rPr>
          <w:rFonts w:ascii="Arial" w:hAnsi="Arial" w:cs="Arial"/>
          <w:b/>
          <w:bCs/>
          <w:sz w:val="32"/>
          <w:szCs w:val="32"/>
        </w:rPr>
        <w:t>4. Sum of Sales Amount and Units Sold by Year (Line Chart)</w:t>
      </w:r>
    </w:p>
    <w:p w14:paraId="7FE01C58" w14:textId="03085EB0" w:rsidR="00314DC9" w:rsidRPr="00A33439" w:rsidRDefault="00A33439" w:rsidP="00314DC9">
      <w:pPr>
        <w:pStyle w:val="NormalWeb"/>
        <w:numPr>
          <w:ilvl w:val="0"/>
          <w:numId w:val="8"/>
        </w:numPr>
        <w:rPr>
          <w:rFonts w:ascii="Arial" w:hAnsi="Arial" w:cs="Arial"/>
          <w:sz w:val="32"/>
          <w:szCs w:val="32"/>
        </w:rPr>
      </w:pPr>
      <w:r w:rsidRPr="00A33439">
        <w:rPr>
          <w:b/>
          <w:bCs/>
          <w:sz w:val="32"/>
          <w:szCs w:val="32"/>
        </w:rPr>
        <w:t>Analysis:</w:t>
      </w:r>
      <w:r w:rsidRPr="00A33439">
        <w:rPr>
          <w:sz w:val="32"/>
          <w:szCs w:val="32"/>
        </w:rPr>
        <w:t xml:space="preserve"> </w:t>
      </w:r>
      <w:r w:rsidRPr="00A33439">
        <w:rPr>
          <w:rFonts w:ascii="Arial" w:hAnsi="Arial" w:cs="Arial"/>
          <w:sz w:val="32"/>
          <w:szCs w:val="32"/>
        </w:rPr>
        <w:t>This line chart overlays the trends of total sales amount and units sold from 2022 to 2024. Both sales amount and units sold follow similar trends with a decline in 2024. This suggests that fewer units were sold, leading to lower total sales in 2024.</w:t>
      </w:r>
    </w:p>
    <w:p w14:paraId="31806EBC" w14:textId="1B0BA560" w:rsidR="00A33439" w:rsidRPr="00314DC9" w:rsidRDefault="00A33439" w:rsidP="00314DC9">
      <w:pPr>
        <w:pStyle w:val="NormalWeb"/>
        <w:ind w:left="720"/>
        <w:rPr>
          <w:rFonts w:ascii="Arial" w:hAnsi="Arial" w:cs="Arial"/>
          <w:sz w:val="32"/>
          <w:szCs w:val="32"/>
        </w:rPr>
      </w:pPr>
      <w:r w:rsidRPr="00314DC9">
        <w:rPr>
          <w:b/>
          <w:bCs/>
          <w:sz w:val="32"/>
          <w:szCs w:val="32"/>
        </w:rPr>
        <w:t>Conclusion</w:t>
      </w:r>
      <w:r w:rsidRPr="00314DC9">
        <w:rPr>
          <w:rFonts w:ascii="Arial" w:hAnsi="Arial" w:cs="Arial"/>
          <w:b/>
          <w:bCs/>
          <w:sz w:val="32"/>
          <w:szCs w:val="32"/>
        </w:rPr>
        <w:t>:</w:t>
      </w:r>
      <w:r w:rsidRPr="00314DC9">
        <w:rPr>
          <w:rFonts w:ascii="Arial" w:hAnsi="Arial" w:cs="Arial"/>
          <w:sz w:val="32"/>
          <w:szCs w:val="32"/>
        </w:rPr>
        <w:t xml:space="preserve"> There is a direct correlation between units sold and sales revenue, and steps should be taken to reverse the declining trend in 2024.</w:t>
      </w:r>
    </w:p>
    <w:p w14:paraId="6A209E4F" w14:textId="77777777" w:rsidR="00A33439" w:rsidRDefault="00A33439" w:rsidP="00A33439">
      <w:pPr>
        <w:rPr>
          <w:sz w:val="44"/>
          <w:szCs w:val="44"/>
        </w:rPr>
      </w:pPr>
    </w:p>
    <w:p w14:paraId="693A79BB" w14:textId="77777777" w:rsidR="00A33439" w:rsidRDefault="00A33439" w:rsidP="00A33439">
      <w:pPr>
        <w:rPr>
          <w:sz w:val="44"/>
          <w:szCs w:val="44"/>
        </w:rPr>
      </w:pPr>
    </w:p>
    <w:p w14:paraId="1FF607CD" w14:textId="6D90D235" w:rsidR="00A33439" w:rsidRPr="00A33439" w:rsidRDefault="00A33439" w:rsidP="00A33439">
      <w:pPr>
        <w:rPr>
          <w:sz w:val="44"/>
          <w:szCs w:val="44"/>
        </w:rPr>
      </w:pPr>
      <w:r w:rsidRPr="00A33439">
        <w:rPr>
          <w:sz w:val="44"/>
          <w:szCs w:val="44"/>
        </w:rPr>
        <w:lastRenderedPageBreak/>
        <w:drawing>
          <wp:inline distT="0" distB="0" distL="0" distR="0" wp14:anchorId="32591E8E" wp14:editId="24445C2C">
            <wp:extent cx="5943600" cy="3601720"/>
            <wp:effectExtent l="0" t="0" r="0" b="0"/>
            <wp:docPr id="321189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1720"/>
                    </a:xfrm>
                    <a:prstGeom prst="rect">
                      <a:avLst/>
                    </a:prstGeom>
                    <a:noFill/>
                    <a:ln>
                      <a:noFill/>
                    </a:ln>
                  </pic:spPr>
                </pic:pic>
              </a:graphicData>
            </a:graphic>
          </wp:inline>
        </w:drawing>
      </w:r>
    </w:p>
    <w:p w14:paraId="0DA7DDB2" w14:textId="77777777" w:rsidR="00314DC9" w:rsidRDefault="00314DC9" w:rsidP="00314DC9">
      <w:pPr>
        <w:pStyle w:val="NormalWeb"/>
        <w:rPr>
          <w:b/>
          <w:bCs/>
          <w:sz w:val="32"/>
          <w:szCs w:val="32"/>
        </w:rPr>
      </w:pPr>
    </w:p>
    <w:p w14:paraId="5405D326" w14:textId="628685F8" w:rsidR="00314DC9" w:rsidRPr="00314DC9" w:rsidRDefault="00314DC9" w:rsidP="00314DC9">
      <w:pPr>
        <w:pStyle w:val="NormalWeb"/>
        <w:numPr>
          <w:ilvl w:val="0"/>
          <w:numId w:val="13"/>
        </w:numPr>
        <w:rPr>
          <w:rFonts w:ascii="Arial" w:hAnsi="Arial" w:cs="Arial"/>
          <w:b/>
          <w:bCs/>
          <w:sz w:val="32"/>
          <w:szCs w:val="32"/>
        </w:rPr>
      </w:pPr>
      <w:r w:rsidRPr="00314DC9">
        <w:rPr>
          <w:rFonts w:ascii="Arial" w:hAnsi="Arial" w:cs="Arial"/>
          <w:b/>
          <w:bCs/>
          <w:sz w:val="32"/>
          <w:szCs w:val="32"/>
        </w:rPr>
        <w:t>Top 5 Products Returned</w:t>
      </w:r>
    </w:p>
    <w:p w14:paraId="3909F403" w14:textId="18E2041F" w:rsidR="00314DC9" w:rsidRPr="00A33439" w:rsidRDefault="00A33439" w:rsidP="00314DC9">
      <w:pPr>
        <w:pStyle w:val="NormalWeb"/>
        <w:numPr>
          <w:ilvl w:val="0"/>
          <w:numId w:val="8"/>
        </w:numPr>
        <w:rPr>
          <w:rFonts w:ascii="Arial" w:hAnsi="Arial" w:cs="Arial"/>
          <w:sz w:val="32"/>
          <w:szCs w:val="32"/>
        </w:rPr>
      </w:pPr>
      <w:r w:rsidRPr="00A33439">
        <w:rPr>
          <w:rFonts w:ascii="Arial" w:hAnsi="Arial" w:cs="Arial"/>
          <w:b/>
          <w:bCs/>
          <w:sz w:val="32"/>
          <w:szCs w:val="32"/>
        </w:rPr>
        <w:t>Analysis:</w:t>
      </w:r>
      <w:r w:rsidRPr="00A33439">
        <w:rPr>
          <w:rFonts w:ascii="Arial" w:hAnsi="Arial" w:cs="Arial"/>
          <w:sz w:val="32"/>
          <w:szCs w:val="32"/>
        </w:rPr>
        <w:t xml:space="preserve"> The bar chart displays the top 5 returned products, with the Vacuum Cleaner Pro leading with 208 units returned, followed closely by Coffee Maker and Gaming Console. This indicates certain products are being returned more frequently than others.</w:t>
      </w:r>
      <w:r w:rsidR="00314DC9">
        <w:rPr>
          <w:rFonts w:ascii="Arial" w:hAnsi="Arial" w:cs="Arial"/>
          <w:sz w:val="32"/>
          <w:szCs w:val="32"/>
        </w:rPr>
        <w:br/>
      </w:r>
    </w:p>
    <w:p w14:paraId="1D837729" w14:textId="36B1AD6E" w:rsidR="00A33439" w:rsidRPr="00A33439" w:rsidRDefault="00A33439" w:rsidP="00314DC9">
      <w:pPr>
        <w:pStyle w:val="NormalWeb"/>
        <w:numPr>
          <w:ilvl w:val="0"/>
          <w:numId w:val="8"/>
        </w:numPr>
        <w:rPr>
          <w:rFonts w:ascii="Arial" w:hAnsi="Arial" w:cs="Arial"/>
          <w:sz w:val="32"/>
          <w:szCs w:val="32"/>
        </w:rPr>
      </w:pPr>
      <w:r w:rsidRPr="00314DC9">
        <w:rPr>
          <w:rFonts w:ascii="Arial" w:hAnsi="Arial" w:cs="Arial"/>
          <w:b/>
          <w:bCs/>
          <w:sz w:val="32"/>
          <w:szCs w:val="32"/>
        </w:rPr>
        <w:t>Conclusion:</w:t>
      </w:r>
      <w:r w:rsidRPr="00314DC9">
        <w:rPr>
          <w:rFonts w:ascii="Arial" w:hAnsi="Arial" w:cs="Arial"/>
          <w:sz w:val="32"/>
          <w:szCs w:val="32"/>
        </w:rPr>
        <w:t xml:space="preserve"> Product quality or customer satisfaction should be reviewed for these items, as they are more likely to be returned compared to others.</w:t>
      </w:r>
    </w:p>
    <w:p w14:paraId="64A87CEB" w14:textId="3937C67A" w:rsidR="00A33439" w:rsidRPr="00A33439" w:rsidRDefault="00A33439" w:rsidP="00A33439">
      <w:pPr>
        <w:rPr>
          <w:sz w:val="44"/>
          <w:szCs w:val="44"/>
        </w:rPr>
      </w:pPr>
      <w:r w:rsidRPr="00A33439">
        <w:rPr>
          <w:sz w:val="44"/>
          <w:szCs w:val="44"/>
        </w:rPr>
        <w:lastRenderedPageBreak/>
        <w:drawing>
          <wp:inline distT="0" distB="0" distL="0" distR="0" wp14:anchorId="77FA9EBC" wp14:editId="113EAC82">
            <wp:extent cx="5943600" cy="3556000"/>
            <wp:effectExtent l="0" t="0" r="0" b="6350"/>
            <wp:docPr id="857676823"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76823" name="Picture 8" descr="A graph of a 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14:paraId="21BD1C90" w14:textId="77777777" w:rsidR="00314DC9" w:rsidRPr="00314DC9" w:rsidRDefault="00314DC9" w:rsidP="00314DC9">
      <w:pPr>
        <w:pStyle w:val="NormalWeb"/>
        <w:rPr>
          <w:rFonts w:ascii="Arial" w:hAnsi="Arial" w:cs="Arial"/>
          <w:b/>
          <w:bCs/>
          <w:sz w:val="32"/>
          <w:szCs w:val="32"/>
        </w:rPr>
      </w:pPr>
    </w:p>
    <w:p w14:paraId="6611BEC7" w14:textId="592BA425" w:rsidR="00314DC9" w:rsidRPr="00314DC9" w:rsidRDefault="00314DC9" w:rsidP="00314DC9">
      <w:pPr>
        <w:pStyle w:val="NormalWeb"/>
        <w:numPr>
          <w:ilvl w:val="0"/>
          <w:numId w:val="13"/>
        </w:numPr>
        <w:rPr>
          <w:rFonts w:ascii="Arial" w:hAnsi="Arial" w:cs="Arial"/>
          <w:b/>
          <w:bCs/>
          <w:sz w:val="32"/>
          <w:szCs w:val="32"/>
        </w:rPr>
      </w:pPr>
      <w:r w:rsidRPr="00314DC9">
        <w:rPr>
          <w:rFonts w:ascii="Arial" w:hAnsi="Arial" w:cs="Arial"/>
          <w:b/>
          <w:bCs/>
          <w:sz w:val="32"/>
          <w:szCs w:val="32"/>
        </w:rPr>
        <w:t>Sum of Units Sold and Units Returned by Product Category</w:t>
      </w:r>
    </w:p>
    <w:p w14:paraId="6F682F57" w14:textId="2EE4FCA5" w:rsidR="00A33439" w:rsidRPr="00A33439" w:rsidRDefault="00A33439" w:rsidP="00314DC9">
      <w:pPr>
        <w:pStyle w:val="NormalWeb"/>
        <w:rPr>
          <w:rFonts w:ascii="Arial" w:hAnsi="Arial" w:cs="Arial"/>
          <w:sz w:val="32"/>
          <w:szCs w:val="32"/>
        </w:rPr>
      </w:pPr>
      <w:r w:rsidRPr="00A33439">
        <w:rPr>
          <w:rFonts w:ascii="Arial" w:hAnsi="Arial" w:cs="Arial"/>
          <w:b/>
          <w:bCs/>
          <w:sz w:val="32"/>
          <w:szCs w:val="32"/>
        </w:rPr>
        <w:t>Analysis:</w:t>
      </w:r>
      <w:r w:rsidRPr="00A33439">
        <w:rPr>
          <w:rFonts w:ascii="Arial" w:hAnsi="Arial" w:cs="Arial"/>
          <w:sz w:val="32"/>
          <w:szCs w:val="32"/>
        </w:rPr>
        <w:t xml:space="preserve"> This chart compares units sold and units returned for different product categories. Apparel leads in both units sold and units returned, whereas Electronics and Home Appliances have fewer returns relative to the units sold.</w:t>
      </w:r>
    </w:p>
    <w:p w14:paraId="0B91A633" w14:textId="4108EBCA" w:rsidR="00A33439" w:rsidRPr="00314DC9" w:rsidRDefault="00A33439" w:rsidP="00314DC9">
      <w:pPr>
        <w:pStyle w:val="NormalWeb"/>
        <w:rPr>
          <w:rFonts w:ascii="Arial" w:hAnsi="Arial" w:cs="Arial"/>
          <w:sz w:val="32"/>
          <w:szCs w:val="32"/>
        </w:rPr>
      </w:pPr>
      <w:r w:rsidRPr="00314DC9">
        <w:rPr>
          <w:rFonts w:ascii="Arial" w:hAnsi="Arial" w:cs="Arial"/>
          <w:b/>
          <w:bCs/>
          <w:sz w:val="32"/>
          <w:szCs w:val="32"/>
        </w:rPr>
        <w:t>Conclusion:</w:t>
      </w:r>
      <w:r w:rsidRPr="00314DC9">
        <w:rPr>
          <w:rFonts w:ascii="Arial" w:hAnsi="Arial" w:cs="Arial"/>
          <w:sz w:val="32"/>
          <w:szCs w:val="32"/>
        </w:rPr>
        <w:t xml:space="preserve"> The company should </w:t>
      </w:r>
      <w:proofErr w:type="gramStart"/>
      <w:r w:rsidRPr="00314DC9">
        <w:rPr>
          <w:rFonts w:ascii="Arial" w:hAnsi="Arial" w:cs="Arial"/>
          <w:sz w:val="32"/>
          <w:szCs w:val="32"/>
        </w:rPr>
        <w:t>look into</w:t>
      </w:r>
      <w:proofErr w:type="gramEnd"/>
      <w:r w:rsidRPr="00314DC9">
        <w:rPr>
          <w:rFonts w:ascii="Arial" w:hAnsi="Arial" w:cs="Arial"/>
          <w:sz w:val="32"/>
          <w:szCs w:val="32"/>
        </w:rPr>
        <w:t xml:space="preserve"> strategies for improving the performance of high-return categories, especially Apparel, to reduce overall return rates while maintaining high sales volume.</w:t>
      </w:r>
    </w:p>
    <w:p w14:paraId="2740EA90" w14:textId="77777777" w:rsidR="00A33439" w:rsidRDefault="00A33439" w:rsidP="00A33439">
      <w:pPr>
        <w:rPr>
          <w:b/>
          <w:bCs/>
          <w:sz w:val="44"/>
          <w:szCs w:val="44"/>
        </w:rPr>
      </w:pPr>
      <w:r w:rsidRPr="00A33439">
        <w:rPr>
          <w:sz w:val="44"/>
          <w:szCs w:val="44"/>
        </w:rPr>
        <w:lastRenderedPageBreak/>
        <w:drawing>
          <wp:inline distT="0" distB="0" distL="0" distR="0" wp14:anchorId="0912518A" wp14:editId="4CC2D07F">
            <wp:extent cx="5943600" cy="3559810"/>
            <wp:effectExtent l="0" t="0" r="0" b="2540"/>
            <wp:docPr id="1869818637" name="Picture 10"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18637" name="Picture 10" descr="A graph of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59810"/>
                    </a:xfrm>
                    <a:prstGeom prst="rect">
                      <a:avLst/>
                    </a:prstGeom>
                    <a:noFill/>
                    <a:ln>
                      <a:noFill/>
                    </a:ln>
                  </pic:spPr>
                </pic:pic>
              </a:graphicData>
            </a:graphic>
          </wp:inline>
        </w:drawing>
      </w:r>
    </w:p>
    <w:p w14:paraId="23151B65" w14:textId="77777777" w:rsidR="00314DC9" w:rsidRDefault="00314DC9" w:rsidP="00A33439">
      <w:pPr>
        <w:rPr>
          <w:b/>
          <w:bCs/>
          <w:sz w:val="44"/>
          <w:szCs w:val="44"/>
        </w:rPr>
      </w:pPr>
    </w:p>
    <w:p w14:paraId="4D7DBAC7" w14:textId="49358914" w:rsidR="00A33439" w:rsidRPr="00314DC9" w:rsidRDefault="00314DC9" w:rsidP="00314DC9">
      <w:pPr>
        <w:rPr>
          <w:rFonts w:ascii="Arial" w:hAnsi="Arial" w:cs="Arial"/>
          <w:sz w:val="32"/>
          <w:szCs w:val="32"/>
        </w:rPr>
      </w:pPr>
      <w:r w:rsidRPr="00314DC9">
        <w:rPr>
          <w:rFonts w:ascii="Arial" w:hAnsi="Arial" w:cs="Arial"/>
          <w:b/>
          <w:bCs/>
          <w:sz w:val="32"/>
          <w:szCs w:val="32"/>
        </w:rPr>
        <w:t xml:space="preserve">7. </w:t>
      </w:r>
      <w:r w:rsidR="00A33439" w:rsidRPr="00314DC9">
        <w:rPr>
          <w:rFonts w:ascii="Arial" w:hAnsi="Arial" w:cs="Arial"/>
          <w:b/>
          <w:bCs/>
          <w:sz w:val="32"/>
          <w:szCs w:val="32"/>
        </w:rPr>
        <w:t xml:space="preserve">Sum of Units Sold by Return Rate and Region </w:t>
      </w:r>
    </w:p>
    <w:p w14:paraId="6B734087" w14:textId="77777777" w:rsidR="00A33439" w:rsidRPr="00A33439" w:rsidRDefault="00A33439" w:rsidP="00314DC9">
      <w:pPr>
        <w:pStyle w:val="NormalWeb"/>
        <w:rPr>
          <w:rFonts w:ascii="Arial" w:hAnsi="Arial" w:cs="Arial"/>
          <w:sz w:val="32"/>
          <w:szCs w:val="32"/>
        </w:rPr>
      </w:pPr>
      <w:r w:rsidRPr="00A33439">
        <w:rPr>
          <w:b/>
          <w:bCs/>
          <w:sz w:val="32"/>
          <w:szCs w:val="32"/>
        </w:rPr>
        <w:t>Analysis:</w:t>
      </w:r>
      <w:r w:rsidRPr="00A33439">
        <w:rPr>
          <w:sz w:val="32"/>
          <w:szCs w:val="32"/>
        </w:rPr>
        <w:t xml:space="preserve"> </w:t>
      </w:r>
      <w:r w:rsidRPr="00A33439">
        <w:rPr>
          <w:rFonts w:ascii="Arial" w:hAnsi="Arial" w:cs="Arial"/>
          <w:sz w:val="32"/>
          <w:szCs w:val="32"/>
        </w:rPr>
        <w:t>This chart shows the relationship between units sold, return rates, and regions. Higher return rates are prevalent across all regions, with the West and South regions contributing to a large portion of the returns.</w:t>
      </w:r>
    </w:p>
    <w:p w14:paraId="4BAA03EF" w14:textId="794E968E" w:rsidR="00A33439" w:rsidRPr="00314DC9" w:rsidRDefault="00A33439" w:rsidP="00314DC9">
      <w:pPr>
        <w:pStyle w:val="NormalWeb"/>
        <w:rPr>
          <w:sz w:val="32"/>
          <w:szCs w:val="32"/>
        </w:rPr>
      </w:pPr>
      <w:r w:rsidRPr="00A33439">
        <w:rPr>
          <w:b/>
          <w:bCs/>
          <w:sz w:val="32"/>
          <w:szCs w:val="32"/>
        </w:rPr>
        <w:t>Conclusion:</w:t>
      </w:r>
      <w:r w:rsidRPr="00A33439">
        <w:rPr>
          <w:sz w:val="32"/>
          <w:szCs w:val="32"/>
        </w:rPr>
        <w:t xml:space="preserve"> </w:t>
      </w:r>
      <w:r w:rsidRPr="00A33439">
        <w:rPr>
          <w:rFonts w:ascii="Arial" w:hAnsi="Arial" w:cs="Arial"/>
          <w:sz w:val="32"/>
          <w:szCs w:val="32"/>
        </w:rPr>
        <w:t>Analyzing product performance by region may help identify specific issues that are causing returns and lead to better regional strategies to reduce return rates.</w:t>
      </w:r>
    </w:p>
    <w:p w14:paraId="305E0421" w14:textId="62DFBA47" w:rsidR="00A33439" w:rsidRDefault="00A33439" w:rsidP="00A33439">
      <w:pPr>
        <w:pStyle w:val="NormalWeb"/>
      </w:pPr>
      <w:r>
        <w:rPr>
          <w:noProof/>
        </w:rPr>
        <w:lastRenderedPageBreak/>
        <w:drawing>
          <wp:inline distT="0" distB="0" distL="0" distR="0" wp14:anchorId="53D869C1" wp14:editId="4DF63837">
            <wp:extent cx="5943600" cy="3615690"/>
            <wp:effectExtent l="0" t="0" r="0" b="3810"/>
            <wp:docPr id="213263495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34954" name="Picture 1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15690"/>
                    </a:xfrm>
                    <a:prstGeom prst="rect">
                      <a:avLst/>
                    </a:prstGeom>
                    <a:noFill/>
                    <a:ln>
                      <a:noFill/>
                    </a:ln>
                  </pic:spPr>
                </pic:pic>
              </a:graphicData>
            </a:graphic>
          </wp:inline>
        </w:drawing>
      </w:r>
    </w:p>
    <w:p w14:paraId="7F0956A7" w14:textId="77777777" w:rsidR="00314DC9" w:rsidRDefault="00314DC9" w:rsidP="00314DC9">
      <w:pPr>
        <w:rPr>
          <w:b/>
          <w:bCs/>
          <w:sz w:val="32"/>
          <w:szCs w:val="32"/>
        </w:rPr>
      </w:pPr>
    </w:p>
    <w:p w14:paraId="0CC211BB" w14:textId="2A1B93FF" w:rsidR="00A33439" w:rsidRPr="00314DC9" w:rsidRDefault="00314DC9" w:rsidP="00314DC9">
      <w:pPr>
        <w:rPr>
          <w:b/>
          <w:bCs/>
          <w:sz w:val="32"/>
          <w:szCs w:val="32"/>
        </w:rPr>
      </w:pPr>
      <w:r w:rsidRPr="00314DC9">
        <w:rPr>
          <w:b/>
          <w:bCs/>
          <w:sz w:val="32"/>
          <w:szCs w:val="32"/>
        </w:rPr>
        <w:t>8.</w:t>
      </w:r>
      <w:r w:rsidR="00A33439" w:rsidRPr="00314DC9">
        <w:rPr>
          <w:b/>
          <w:bCs/>
          <w:sz w:val="32"/>
          <w:szCs w:val="32"/>
        </w:rPr>
        <w:t xml:space="preserve">Sum of Sales Amount by Product Category </w:t>
      </w:r>
    </w:p>
    <w:p w14:paraId="2A78BB47" w14:textId="040E0D29" w:rsidR="00314DC9" w:rsidRPr="00A33439" w:rsidRDefault="00A33439" w:rsidP="00314DC9">
      <w:pPr>
        <w:pStyle w:val="NormalWeb"/>
        <w:rPr>
          <w:rFonts w:ascii="Arial" w:hAnsi="Arial" w:cs="Arial"/>
          <w:sz w:val="32"/>
          <w:szCs w:val="32"/>
        </w:rPr>
      </w:pPr>
      <w:r w:rsidRPr="00A33439">
        <w:rPr>
          <w:rFonts w:ascii="Arial" w:hAnsi="Arial" w:cs="Arial"/>
          <w:b/>
          <w:bCs/>
          <w:sz w:val="32"/>
          <w:szCs w:val="32"/>
        </w:rPr>
        <w:t>Analysis:</w:t>
      </w:r>
      <w:r w:rsidRPr="00A33439">
        <w:rPr>
          <w:rFonts w:ascii="Arial" w:hAnsi="Arial" w:cs="Arial"/>
          <w:sz w:val="32"/>
          <w:szCs w:val="32"/>
        </w:rPr>
        <w:t xml:space="preserve"> This bar chart shows the total sales amount by product category. Apparel leads with the highest sales ($450.51K), followed by Furniture and Home Appliances. Sports and Electronics categories have the lowest sales figures.</w:t>
      </w:r>
    </w:p>
    <w:p w14:paraId="7D7E04FF" w14:textId="77777777" w:rsidR="00A33439" w:rsidRPr="00A33439" w:rsidRDefault="00A33439" w:rsidP="00314DC9">
      <w:pPr>
        <w:pStyle w:val="NormalWeb"/>
        <w:rPr>
          <w:rFonts w:ascii="Arial" w:hAnsi="Arial" w:cs="Arial"/>
          <w:sz w:val="32"/>
          <w:szCs w:val="32"/>
        </w:rPr>
      </w:pPr>
      <w:r w:rsidRPr="00A33439">
        <w:rPr>
          <w:rFonts w:ascii="Arial" w:hAnsi="Arial" w:cs="Arial"/>
          <w:b/>
          <w:bCs/>
          <w:sz w:val="32"/>
          <w:szCs w:val="32"/>
        </w:rPr>
        <w:t>Conclusion:</w:t>
      </w:r>
      <w:r w:rsidRPr="00A33439">
        <w:rPr>
          <w:rFonts w:ascii="Arial" w:hAnsi="Arial" w:cs="Arial"/>
          <w:sz w:val="32"/>
          <w:szCs w:val="32"/>
        </w:rPr>
        <w:t xml:space="preserve"> The company could focus marketing efforts on the lower-performing categories like Sports and Electronics to boost their sales.</w:t>
      </w:r>
    </w:p>
    <w:p w14:paraId="39169984" w14:textId="388F7A6E" w:rsidR="00A33439" w:rsidRDefault="005370AA" w:rsidP="005370AA">
      <w:pPr>
        <w:pStyle w:val="NormalWeb"/>
      </w:pPr>
      <w:r>
        <w:rPr>
          <w:noProof/>
        </w:rPr>
        <w:lastRenderedPageBreak/>
        <w:drawing>
          <wp:inline distT="0" distB="0" distL="0" distR="0" wp14:anchorId="7B9C0C35" wp14:editId="6ED4B578">
            <wp:extent cx="5943600" cy="3602355"/>
            <wp:effectExtent l="0" t="0" r="0" b="0"/>
            <wp:docPr id="1086127993" name="Picture 1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27993" name="Picture 13" descr="A graph showing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2355"/>
                    </a:xfrm>
                    <a:prstGeom prst="rect">
                      <a:avLst/>
                    </a:prstGeom>
                    <a:noFill/>
                    <a:ln>
                      <a:noFill/>
                    </a:ln>
                  </pic:spPr>
                </pic:pic>
              </a:graphicData>
            </a:graphic>
          </wp:inline>
        </w:drawing>
      </w:r>
    </w:p>
    <w:p w14:paraId="0A928996" w14:textId="6B3073D4" w:rsidR="005370AA" w:rsidRPr="005370AA" w:rsidRDefault="00314DC9" w:rsidP="005370AA">
      <w:pPr>
        <w:pStyle w:val="NormalWeb"/>
        <w:rPr>
          <w:rFonts w:ascii="Arial" w:hAnsi="Arial" w:cs="Arial"/>
          <w:b/>
          <w:bCs/>
          <w:sz w:val="32"/>
          <w:szCs w:val="32"/>
        </w:rPr>
      </w:pPr>
      <w:r w:rsidRPr="00314DC9">
        <w:rPr>
          <w:rFonts w:ascii="Arial" w:hAnsi="Arial" w:cs="Arial"/>
          <w:b/>
          <w:bCs/>
          <w:sz w:val="32"/>
          <w:szCs w:val="32"/>
        </w:rPr>
        <w:t xml:space="preserve">9. </w:t>
      </w:r>
      <w:r w:rsidR="005370AA" w:rsidRPr="005370AA">
        <w:rPr>
          <w:rFonts w:ascii="Arial" w:hAnsi="Arial" w:cs="Arial"/>
          <w:b/>
          <w:bCs/>
          <w:sz w:val="32"/>
          <w:szCs w:val="32"/>
        </w:rPr>
        <w:t xml:space="preserve">Units Returned by Product Category </w:t>
      </w:r>
    </w:p>
    <w:p w14:paraId="32B507A6" w14:textId="77777777" w:rsidR="005370AA" w:rsidRPr="005370AA" w:rsidRDefault="005370AA" w:rsidP="00314DC9">
      <w:pPr>
        <w:pStyle w:val="NormalWeb"/>
        <w:rPr>
          <w:rFonts w:ascii="Arial" w:hAnsi="Arial" w:cs="Arial"/>
          <w:sz w:val="32"/>
          <w:szCs w:val="32"/>
        </w:rPr>
      </w:pPr>
      <w:r w:rsidRPr="005370AA">
        <w:rPr>
          <w:rFonts w:ascii="Arial" w:hAnsi="Arial" w:cs="Arial"/>
          <w:b/>
          <w:bCs/>
          <w:sz w:val="32"/>
          <w:szCs w:val="32"/>
        </w:rPr>
        <w:t>Analysis:</w:t>
      </w:r>
      <w:r w:rsidRPr="005370AA">
        <w:rPr>
          <w:rFonts w:ascii="Arial" w:hAnsi="Arial" w:cs="Arial"/>
          <w:sz w:val="32"/>
          <w:szCs w:val="32"/>
        </w:rPr>
        <w:t xml:space="preserve"> This line chart shows the number of units returned by product category. Apparel has the highest return rate, followed by Home Appliances and Beauty. The Sports category has the lowest return rate.</w:t>
      </w:r>
    </w:p>
    <w:p w14:paraId="65F34212" w14:textId="77777777" w:rsidR="005370AA" w:rsidRPr="005370AA" w:rsidRDefault="005370AA" w:rsidP="00314DC9">
      <w:pPr>
        <w:pStyle w:val="NormalWeb"/>
        <w:rPr>
          <w:rFonts w:ascii="Arial" w:hAnsi="Arial" w:cs="Arial"/>
          <w:sz w:val="32"/>
          <w:szCs w:val="32"/>
        </w:rPr>
      </w:pPr>
      <w:r w:rsidRPr="005370AA">
        <w:rPr>
          <w:rFonts w:ascii="Arial" w:hAnsi="Arial" w:cs="Arial"/>
          <w:b/>
          <w:bCs/>
          <w:sz w:val="32"/>
          <w:szCs w:val="32"/>
        </w:rPr>
        <w:t>Conclusion:</w:t>
      </w:r>
      <w:r w:rsidRPr="005370AA">
        <w:rPr>
          <w:rFonts w:ascii="Arial" w:hAnsi="Arial" w:cs="Arial"/>
          <w:sz w:val="32"/>
          <w:szCs w:val="32"/>
        </w:rPr>
        <w:t xml:space="preserve"> Apparel has a high return rate, which may indicate customer dissatisfaction with size, quality, or design. The company should explore the reasons behind these returns to reduce them.</w:t>
      </w:r>
    </w:p>
    <w:p w14:paraId="4B0F58B8" w14:textId="77777777" w:rsidR="005370AA" w:rsidRDefault="005370AA" w:rsidP="005370AA">
      <w:pPr>
        <w:pStyle w:val="NormalWeb"/>
      </w:pPr>
    </w:p>
    <w:p w14:paraId="7061A8EA" w14:textId="15363294" w:rsidR="005370AA" w:rsidRPr="005370AA" w:rsidRDefault="005370AA" w:rsidP="005370AA">
      <w:pPr>
        <w:pStyle w:val="NormalWeb"/>
      </w:pPr>
      <w:r w:rsidRPr="005370AA">
        <w:lastRenderedPageBreak/>
        <w:drawing>
          <wp:inline distT="0" distB="0" distL="0" distR="0" wp14:anchorId="065E72AA" wp14:editId="24A1F4C7">
            <wp:extent cx="5943600" cy="3617595"/>
            <wp:effectExtent l="0" t="0" r="0" b="1905"/>
            <wp:docPr id="292657048" name="Picture 15" descr="A pie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57048" name="Picture 15" descr="A pie chart with different colo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7595"/>
                    </a:xfrm>
                    <a:prstGeom prst="rect">
                      <a:avLst/>
                    </a:prstGeom>
                    <a:noFill/>
                    <a:ln>
                      <a:noFill/>
                    </a:ln>
                  </pic:spPr>
                </pic:pic>
              </a:graphicData>
            </a:graphic>
          </wp:inline>
        </w:drawing>
      </w:r>
    </w:p>
    <w:p w14:paraId="12E09546" w14:textId="1D387C67" w:rsidR="005370AA" w:rsidRPr="005370AA" w:rsidRDefault="00314DC9" w:rsidP="005370AA">
      <w:pPr>
        <w:pStyle w:val="NormalWeb"/>
        <w:rPr>
          <w:rFonts w:ascii="Arial" w:hAnsi="Arial" w:cs="Arial"/>
          <w:b/>
          <w:bCs/>
          <w:sz w:val="32"/>
          <w:szCs w:val="32"/>
        </w:rPr>
      </w:pPr>
      <w:r w:rsidRPr="00314DC9">
        <w:rPr>
          <w:rFonts w:ascii="Arial" w:hAnsi="Arial" w:cs="Arial"/>
          <w:b/>
          <w:bCs/>
          <w:sz w:val="32"/>
          <w:szCs w:val="32"/>
        </w:rPr>
        <w:t xml:space="preserve">10. </w:t>
      </w:r>
      <w:r w:rsidR="005370AA" w:rsidRPr="005370AA">
        <w:rPr>
          <w:rFonts w:ascii="Arial" w:hAnsi="Arial" w:cs="Arial"/>
          <w:b/>
          <w:bCs/>
          <w:sz w:val="32"/>
          <w:szCs w:val="32"/>
        </w:rPr>
        <w:t xml:space="preserve">Sum of Sales Amount by Region </w:t>
      </w:r>
    </w:p>
    <w:p w14:paraId="27C6AB6F" w14:textId="0E8F9971" w:rsidR="00314DC9" w:rsidRPr="005370AA" w:rsidRDefault="005370AA" w:rsidP="00314DC9">
      <w:pPr>
        <w:pStyle w:val="NormalWeb"/>
        <w:rPr>
          <w:rFonts w:ascii="Arial" w:hAnsi="Arial" w:cs="Arial"/>
          <w:sz w:val="32"/>
          <w:szCs w:val="32"/>
        </w:rPr>
      </w:pPr>
      <w:r w:rsidRPr="005370AA">
        <w:rPr>
          <w:rFonts w:ascii="Arial" w:hAnsi="Arial" w:cs="Arial"/>
          <w:b/>
          <w:bCs/>
          <w:sz w:val="32"/>
          <w:szCs w:val="32"/>
        </w:rPr>
        <w:t>Analysis</w:t>
      </w:r>
      <w:r w:rsidRPr="005370AA">
        <w:rPr>
          <w:rFonts w:ascii="Arial" w:hAnsi="Arial" w:cs="Arial"/>
          <w:sz w:val="32"/>
          <w:szCs w:val="32"/>
        </w:rPr>
        <w:t>: The pie chart illustrates the sales distribution across different regions. The North region leads with 26.66% of total sales, followed by the South and West regions, with the East region contributing the least.</w:t>
      </w:r>
    </w:p>
    <w:p w14:paraId="2FCFBA6B" w14:textId="77777777" w:rsidR="005370AA" w:rsidRPr="005370AA" w:rsidRDefault="005370AA" w:rsidP="00314DC9">
      <w:pPr>
        <w:pStyle w:val="NormalWeb"/>
        <w:rPr>
          <w:rFonts w:ascii="Arial" w:hAnsi="Arial" w:cs="Arial"/>
          <w:b/>
          <w:bCs/>
          <w:sz w:val="32"/>
          <w:szCs w:val="32"/>
        </w:rPr>
      </w:pPr>
      <w:r w:rsidRPr="005370AA">
        <w:rPr>
          <w:rFonts w:ascii="Arial" w:hAnsi="Arial" w:cs="Arial"/>
          <w:b/>
          <w:bCs/>
          <w:sz w:val="32"/>
          <w:szCs w:val="32"/>
        </w:rPr>
        <w:t xml:space="preserve">Conclusion: </w:t>
      </w:r>
      <w:r w:rsidRPr="005370AA">
        <w:rPr>
          <w:rFonts w:ascii="Arial" w:hAnsi="Arial" w:cs="Arial"/>
          <w:sz w:val="32"/>
          <w:szCs w:val="32"/>
        </w:rPr>
        <w:t>Efforts should be made to boost sales in the East region, as it lags behind other regions.</w:t>
      </w:r>
    </w:p>
    <w:p w14:paraId="3177A33B" w14:textId="77777777" w:rsidR="005370AA" w:rsidRPr="005370AA" w:rsidRDefault="005370AA" w:rsidP="005370AA">
      <w:pPr>
        <w:pStyle w:val="NormalWeb"/>
      </w:pPr>
    </w:p>
    <w:sectPr w:rsidR="005370AA" w:rsidRPr="0053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77424"/>
    <w:multiLevelType w:val="multilevel"/>
    <w:tmpl w:val="9304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25E"/>
    <w:multiLevelType w:val="hybridMultilevel"/>
    <w:tmpl w:val="619AB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E4C96"/>
    <w:multiLevelType w:val="hybridMultilevel"/>
    <w:tmpl w:val="B4E4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D7FC8"/>
    <w:multiLevelType w:val="hybridMultilevel"/>
    <w:tmpl w:val="BCB4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E085A"/>
    <w:multiLevelType w:val="hybridMultilevel"/>
    <w:tmpl w:val="987E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60676"/>
    <w:multiLevelType w:val="hybridMultilevel"/>
    <w:tmpl w:val="0F0A524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76A1A"/>
    <w:multiLevelType w:val="multilevel"/>
    <w:tmpl w:val="6978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D2D83"/>
    <w:multiLevelType w:val="hybridMultilevel"/>
    <w:tmpl w:val="6C545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D558E"/>
    <w:multiLevelType w:val="multilevel"/>
    <w:tmpl w:val="D1BC9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649ED"/>
    <w:multiLevelType w:val="multilevel"/>
    <w:tmpl w:val="AE74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8499E"/>
    <w:multiLevelType w:val="multilevel"/>
    <w:tmpl w:val="E372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A3283"/>
    <w:multiLevelType w:val="multilevel"/>
    <w:tmpl w:val="29AA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06F43"/>
    <w:multiLevelType w:val="hybridMultilevel"/>
    <w:tmpl w:val="49EA2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8853923">
    <w:abstractNumId w:val="11"/>
  </w:num>
  <w:num w:numId="2" w16cid:durableId="2143691405">
    <w:abstractNumId w:val="6"/>
  </w:num>
  <w:num w:numId="3" w16cid:durableId="1513377503">
    <w:abstractNumId w:val="9"/>
  </w:num>
  <w:num w:numId="4" w16cid:durableId="12146306">
    <w:abstractNumId w:val="0"/>
  </w:num>
  <w:num w:numId="5" w16cid:durableId="986982783">
    <w:abstractNumId w:val="8"/>
  </w:num>
  <w:num w:numId="6" w16cid:durableId="1231186836">
    <w:abstractNumId w:val="10"/>
  </w:num>
  <w:num w:numId="7" w16cid:durableId="81921041">
    <w:abstractNumId w:val="2"/>
  </w:num>
  <w:num w:numId="8" w16cid:durableId="1584146639">
    <w:abstractNumId w:val="4"/>
  </w:num>
  <w:num w:numId="9" w16cid:durableId="990910175">
    <w:abstractNumId w:val="1"/>
  </w:num>
  <w:num w:numId="10" w16cid:durableId="125468500">
    <w:abstractNumId w:val="12"/>
  </w:num>
  <w:num w:numId="11" w16cid:durableId="990256133">
    <w:abstractNumId w:val="3"/>
  </w:num>
  <w:num w:numId="12" w16cid:durableId="374157109">
    <w:abstractNumId w:val="7"/>
  </w:num>
  <w:num w:numId="13" w16cid:durableId="1302537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38"/>
    <w:rsid w:val="00314DC9"/>
    <w:rsid w:val="00381A42"/>
    <w:rsid w:val="003F6138"/>
    <w:rsid w:val="005370AA"/>
    <w:rsid w:val="00A33439"/>
    <w:rsid w:val="00D8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2ADC"/>
  <w15:chartTrackingRefBased/>
  <w15:docId w15:val="{EDCE6156-CE85-40F6-A9F6-D17FB710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138"/>
    <w:rPr>
      <w:rFonts w:eastAsiaTheme="majorEastAsia" w:cstheme="majorBidi"/>
      <w:color w:val="272727" w:themeColor="text1" w:themeTint="D8"/>
    </w:rPr>
  </w:style>
  <w:style w:type="paragraph" w:styleId="Title">
    <w:name w:val="Title"/>
    <w:basedOn w:val="Normal"/>
    <w:next w:val="Normal"/>
    <w:link w:val="TitleChar"/>
    <w:uiPriority w:val="10"/>
    <w:qFormat/>
    <w:rsid w:val="003F6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138"/>
    <w:pPr>
      <w:spacing w:before="160"/>
      <w:jc w:val="center"/>
    </w:pPr>
    <w:rPr>
      <w:i/>
      <w:iCs/>
      <w:color w:val="404040" w:themeColor="text1" w:themeTint="BF"/>
    </w:rPr>
  </w:style>
  <w:style w:type="character" w:customStyle="1" w:styleId="QuoteChar">
    <w:name w:val="Quote Char"/>
    <w:basedOn w:val="DefaultParagraphFont"/>
    <w:link w:val="Quote"/>
    <w:uiPriority w:val="29"/>
    <w:rsid w:val="003F6138"/>
    <w:rPr>
      <w:i/>
      <w:iCs/>
      <w:color w:val="404040" w:themeColor="text1" w:themeTint="BF"/>
    </w:rPr>
  </w:style>
  <w:style w:type="paragraph" w:styleId="ListParagraph">
    <w:name w:val="List Paragraph"/>
    <w:basedOn w:val="Normal"/>
    <w:uiPriority w:val="34"/>
    <w:qFormat/>
    <w:rsid w:val="003F6138"/>
    <w:pPr>
      <w:ind w:left="720"/>
      <w:contextualSpacing/>
    </w:pPr>
  </w:style>
  <w:style w:type="character" w:styleId="IntenseEmphasis">
    <w:name w:val="Intense Emphasis"/>
    <w:basedOn w:val="DefaultParagraphFont"/>
    <w:uiPriority w:val="21"/>
    <w:qFormat/>
    <w:rsid w:val="003F6138"/>
    <w:rPr>
      <w:i/>
      <w:iCs/>
      <w:color w:val="0F4761" w:themeColor="accent1" w:themeShade="BF"/>
    </w:rPr>
  </w:style>
  <w:style w:type="paragraph" w:styleId="IntenseQuote">
    <w:name w:val="Intense Quote"/>
    <w:basedOn w:val="Normal"/>
    <w:next w:val="Normal"/>
    <w:link w:val="IntenseQuoteChar"/>
    <w:uiPriority w:val="30"/>
    <w:qFormat/>
    <w:rsid w:val="003F6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138"/>
    <w:rPr>
      <w:i/>
      <w:iCs/>
      <w:color w:val="0F4761" w:themeColor="accent1" w:themeShade="BF"/>
    </w:rPr>
  </w:style>
  <w:style w:type="character" w:styleId="IntenseReference">
    <w:name w:val="Intense Reference"/>
    <w:basedOn w:val="DefaultParagraphFont"/>
    <w:uiPriority w:val="32"/>
    <w:qFormat/>
    <w:rsid w:val="003F6138"/>
    <w:rPr>
      <w:b/>
      <w:bCs/>
      <w:smallCaps/>
      <w:color w:val="0F4761" w:themeColor="accent1" w:themeShade="BF"/>
      <w:spacing w:val="5"/>
    </w:rPr>
  </w:style>
  <w:style w:type="paragraph" w:styleId="NormalWeb">
    <w:name w:val="Normal (Web)"/>
    <w:basedOn w:val="Normal"/>
    <w:uiPriority w:val="99"/>
    <w:unhideWhenUsed/>
    <w:rsid w:val="00A3343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07942">
      <w:bodyDiv w:val="1"/>
      <w:marLeft w:val="0"/>
      <w:marRight w:val="0"/>
      <w:marTop w:val="0"/>
      <w:marBottom w:val="0"/>
      <w:divBdr>
        <w:top w:val="none" w:sz="0" w:space="0" w:color="auto"/>
        <w:left w:val="none" w:sz="0" w:space="0" w:color="auto"/>
        <w:bottom w:val="none" w:sz="0" w:space="0" w:color="auto"/>
        <w:right w:val="none" w:sz="0" w:space="0" w:color="auto"/>
      </w:divBdr>
    </w:div>
    <w:div w:id="264924284">
      <w:bodyDiv w:val="1"/>
      <w:marLeft w:val="0"/>
      <w:marRight w:val="0"/>
      <w:marTop w:val="0"/>
      <w:marBottom w:val="0"/>
      <w:divBdr>
        <w:top w:val="none" w:sz="0" w:space="0" w:color="auto"/>
        <w:left w:val="none" w:sz="0" w:space="0" w:color="auto"/>
        <w:bottom w:val="none" w:sz="0" w:space="0" w:color="auto"/>
        <w:right w:val="none" w:sz="0" w:space="0" w:color="auto"/>
      </w:divBdr>
    </w:div>
    <w:div w:id="265356993">
      <w:bodyDiv w:val="1"/>
      <w:marLeft w:val="0"/>
      <w:marRight w:val="0"/>
      <w:marTop w:val="0"/>
      <w:marBottom w:val="0"/>
      <w:divBdr>
        <w:top w:val="none" w:sz="0" w:space="0" w:color="auto"/>
        <w:left w:val="none" w:sz="0" w:space="0" w:color="auto"/>
        <w:bottom w:val="none" w:sz="0" w:space="0" w:color="auto"/>
        <w:right w:val="none" w:sz="0" w:space="0" w:color="auto"/>
      </w:divBdr>
    </w:div>
    <w:div w:id="407044302">
      <w:bodyDiv w:val="1"/>
      <w:marLeft w:val="0"/>
      <w:marRight w:val="0"/>
      <w:marTop w:val="0"/>
      <w:marBottom w:val="0"/>
      <w:divBdr>
        <w:top w:val="none" w:sz="0" w:space="0" w:color="auto"/>
        <w:left w:val="none" w:sz="0" w:space="0" w:color="auto"/>
        <w:bottom w:val="none" w:sz="0" w:space="0" w:color="auto"/>
        <w:right w:val="none" w:sz="0" w:space="0" w:color="auto"/>
      </w:divBdr>
    </w:div>
    <w:div w:id="545989285">
      <w:bodyDiv w:val="1"/>
      <w:marLeft w:val="0"/>
      <w:marRight w:val="0"/>
      <w:marTop w:val="0"/>
      <w:marBottom w:val="0"/>
      <w:divBdr>
        <w:top w:val="none" w:sz="0" w:space="0" w:color="auto"/>
        <w:left w:val="none" w:sz="0" w:space="0" w:color="auto"/>
        <w:bottom w:val="none" w:sz="0" w:space="0" w:color="auto"/>
        <w:right w:val="none" w:sz="0" w:space="0" w:color="auto"/>
      </w:divBdr>
    </w:div>
    <w:div w:id="587537585">
      <w:bodyDiv w:val="1"/>
      <w:marLeft w:val="0"/>
      <w:marRight w:val="0"/>
      <w:marTop w:val="0"/>
      <w:marBottom w:val="0"/>
      <w:divBdr>
        <w:top w:val="none" w:sz="0" w:space="0" w:color="auto"/>
        <w:left w:val="none" w:sz="0" w:space="0" w:color="auto"/>
        <w:bottom w:val="none" w:sz="0" w:space="0" w:color="auto"/>
        <w:right w:val="none" w:sz="0" w:space="0" w:color="auto"/>
      </w:divBdr>
    </w:div>
    <w:div w:id="601495797">
      <w:bodyDiv w:val="1"/>
      <w:marLeft w:val="0"/>
      <w:marRight w:val="0"/>
      <w:marTop w:val="0"/>
      <w:marBottom w:val="0"/>
      <w:divBdr>
        <w:top w:val="none" w:sz="0" w:space="0" w:color="auto"/>
        <w:left w:val="none" w:sz="0" w:space="0" w:color="auto"/>
        <w:bottom w:val="none" w:sz="0" w:space="0" w:color="auto"/>
        <w:right w:val="none" w:sz="0" w:space="0" w:color="auto"/>
      </w:divBdr>
    </w:div>
    <w:div w:id="755589647">
      <w:bodyDiv w:val="1"/>
      <w:marLeft w:val="0"/>
      <w:marRight w:val="0"/>
      <w:marTop w:val="0"/>
      <w:marBottom w:val="0"/>
      <w:divBdr>
        <w:top w:val="none" w:sz="0" w:space="0" w:color="auto"/>
        <w:left w:val="none" w:sz="0" w:space="0" w:color="auto"/>
        <w:bottom w:val="none" w:sz="0" w:space="0" w:color="auto"/>
        <w:right w:val="none" w:sz="0" w:space="0" w:color="auto"/>
      </w:divBdr>
    </w:div>
    <w:div w:id="782726538">
      <w:bodyDiv w:val="1"/>
      <w:marLeft w:val="0"/>
      <w:marRight w:val="0"/>
      <w:marTop w:val="0"/>
      <w:marBottom w:val="0"/>
      <w:divBdr>
        <w:top w:val="none" w:sz="0" w:space="0" w:color="auto"/>
        <w:left w:val="none" w:sz="0" w:space="0" w:color="auto"/>
        <w:bottom w:val="none" w:sz="0" w:space="0" w:color="auto"/>
        <w:right w:val="none" w:sz="0" w:space="0" w:color="auto"/>
      </w:divBdr>
    </w:div>
    <w:div w:id="789738770">
      <w:bodyDiv w:val="1"/>
      <w:marLeft w:val="0"/>
      <w:marRight w:val="0"/>
      <w:marTop w:val="0"/>
      <w:marBottom w:val="0"/>
      <w:divBdr>
        <w:top w:val="none" w:sz="0" w:space="0" w:color="auto"/>
        <w:left w:val="none" w:sz="0" w:space="0" w:color="auto"/>
        <w:bottom w:val="none" w:sz="0" w:space="0" w:color="auto"/>
        <w:right w:val="none" w:sz="0" w:space="0" w:color="auto"/>
      </w:divBdr>
    </w:div>
    <w:div w:id="862330038">
      <w:bodyDiv w:val="1"/>
      <w:marLeft w:val="0"/>
      <w:marRight w:val="0"/>
      <w:marTop w:val="0"/>
      <w:marBottom w:val="0"/>
      <w:divBdr>
        <w:top w:val="none" w:sz="0" w:space="0" w:color="auto"/>
        <w:left w:val="none" w:sz="0" w:space="0" w:color="auto"/>
        <w:bottom w:val="none" w:sz="0" w:space="0" w:color="auto"/>
        <w:right w:val="none" w:sz="0" w:space="0" w:color="auto"/>
      </w:divBdr>
    </w:div>
    <w:div w:id="911626358">
      <w:bodyDiv w:val="1"/>
      <w:marLeft w:val="0"/>
      <w:marRight w:val="0"/>
      <w:marTop w:val="0"/>
      <w:marBottom w:val="0"/>
      <w:divBdr>
        <w:top w:val="none" w:sz="0" w:space="0" w:color="auto"/>
        <w:left w:val="none" w:sz="0" w:space="0" w:color="auto"/>
        <w:bottom w:val="none" w:sz="0" w:space="0" w:color="auto"/>
        <w:right w:val="none" w:sz="0" w:space="0" w:color="auto"/>
      </w:divBdr>
    </w:div>
    <w:div w:id="916017779">
      <w:bodyDiv w:val="1"/>
      <w:marLeft w:val="0"/>
      <w:marRight w:val="0"/>
      <w:marTop w:val="0"/>
      <w:marBottom w:val="0"/>
      <w:divBdr>
        <w:top w:val="none" w:sz="0" w:space="0" w:color="auto"/>
        <w:left w:val="none" w:sz="0" w:space="0" w:color="auto"/>
        <w:bottom w:val="none" w:sz="0" w:space="0" w:color="auto"/>
        <w:right w:val="none" w:sz="0" w:space="0" w:color="auto"/>
      </w:divBdr>
    </w:div>
    <w:div w:id="949051453">
      <w:bodyDiv w:val="1"/>
      <w:marLeft w:val="0"/>
      <w:marRight w:val="0"/>
      <w:marTop w:val="0"/>
      <w:marBottom w:val="0"/>
      <w:divBdr>
        <w:top w:val="none" w:sz="0" w:space="0" w:color="auto"/>
        <w:left w:val="none" w:sz="0" w:space="0" w:color="auto"/>
        <w:bottom w:val="none" w:sz="0" w:space="0" w:color="auto"/>
        <w:right w:val="none" w:sz="0" w:space="0" w:color="auto"/>
      </w:divBdr>
    </w:div>
    <w:div w:id="959216671">
      <w:bodyDiv w:val="1"/>
      <w:marLeft w:val="0"/>
      <w:marRight w:val="0"/>
      <w:marTop w:val="0"/>
      <w:marBottom w:val="0"/>
      <w:divBdr>
        <w:top w:val="none" w:sz="0" w:space="0" w:color="auto"/>
        <w:left w:val="none" w:sz="0" w:space="0" w:color="auto"/>
        <w:bottom w:val="none" w:sz="0" w:space="0" w:color="auto"/>
        <w:right w:val="none" w:sz="0" w:space="0" w:color="auto"/>
      </w:divBdr>
    </w:div>
    <w:div w:id="1057555036">
      <w:bodyDiv w:val="1"/>
      <w:marLeft w:val="0"/>
      <w:marRight w:val="0"/>
      <w:marTop w:val="0"/>
      <w:marBottom w:val="0"/>
      <w:divBdr>
        <w:top w:val="none" w:sz="0" w:space="0" w:color="auto"/>
        <w:left w:val="none" w:sz="0" w:space="0" w:color="auto"/>
        <w:bottom w:val="none" w:sz="0" w:space="0" w:color="auto"/>
        <w:right w:val="none" w:sz="0" w:space="0" w:color="auto"/>
      </w:divBdr>
    </w:div>
    <w:div w:id="1080249856">
      <w:bodyDiv w:val="1"/>
      <w:marLeft w:val="0"/>
      <w:marRight w:val="0"/>
      <w:marTop w:val="0"/>
      <w:marBottom w:val="0"/>
      <w:divBdr>
        <w:top w:val="none" w:sz="0" w:space="0" w:color="auto"/>
        <w:left w:val="none" w:sz="0" w:space="0" w:color="auto"/>
        <w:bottom w:val="none" w:sz="0" w:space="0" w:color="auto"/>
        <w:right w:val="none" w:sz="0" w:space="0" w:color="auto"/>
      </w:divBdr>
    </w:div>
    <w:div w:id="1224946933">
      <w:bodyDiv w:val="1"/>
      <w:marLeft w:val="0"/>
      <w:marRight w:val="0"/>
      <w:marTop w:val="0"/>
      <w:marBottom w:val="0"/>
      <w:divBdr>
        <w:top w:val="none" w:sz="0" w:space="0" w:color="auto"/>
        <w:left w:val="none" w:sz="0" w:space="0" w:color="auto"/>
        <w:bottom w:val="none" w:sz="0" w:space="0" w:color="auto"/>
        <w:right w:val="none" w:sz="0" w:space="0" w:color="auto"/>
      </w:divBdr>
    </w:div>
    <w:div w:id="1252010339">
      <w:bodyDiv w:val="1"/>
      <w:marLeft w:val="0"/>
      <w:marRight w:val="0"/>
      <w:marTop w:val="0"/>
      <w:marBottom w:val="0"/>
      <w:divBdr>
        <w:top w:val="none" w:sz="0" w:space="0" w:color="auto"/>
        <w:left w:val="none" w:sz="0" w:space="0" w:color="auto"/>
        <w:bottom w:val="none" w:sz="0" w:space="0" w:color="auto"/>
        <w:right w:val="none" w:sz="0" w:space="0" w:color="auto"/>
      </w:divBdr>
    </w:div>
    <w:div w:id="1285623445">
      <w:bodyDiv w:val="1"/>
      <w:marLeft w:val="0"/>
      <w:marRight w:val="0"/>
      <w:marTop w:val="0"/>
      <w:marBottom w:val="0"/>
      <w:divBdr>
        <w:top w:val="none" w:sz="0" w:space="0" w:color="auto"/>
        <w:left w:val="none" w:sz="0" w:space="0" w:color="auto"/>
        <w:bottom w:val="none" w:sz="0" w:space="0" w:color="auto"/>
        <w:right w:val="none" w:sz="0" w:space="0" w:color="auto"/>
      </w:divBdr>
    </w:div>
    <w:div w:id="1332878251">
      <w:bodyDiv w:val="1"/>
      <w:marLeft w:val="0"/>
      <w:marRight w:val="0"/>
      <w:marTop w:val="0"/>
      <w:marBottom w:val="0"/>
      <w:divBdr>
        <w:top w:val="none" w:sz="0" w:space="0" w:color="auto"/>
        <w:left w:val="none" w:sz="0" w:space="0" w:color="auto"/>
        <w:bottom w:val="none" w:sz="0" w:space="0" w:color="auto"/>
        <w:right w:val="none" w:sz="0" w:space="0" w:color="auto"/>
      </w:divBdr>
    </w:div>
    <w:div w:id="1415280927">
      <w:bodyDiv w:val="1"/>
      <w:marLeft w:val="0"/>
      <w:marRight w:val="0"/>
      <w:marTop w:val="0"/>
      <w:marBottom w:val="0"/>
      <w:divBdr>
        <w:top w:val="none" w:sz="0" w:space="0" w:color="auto"/>
        <w:left w:val="none" w:sz="0" w:space="0" w:color="auto"/>
        <w:bottom w:val="none" w:sz="0" w:space="0" w:color="auto"/>
        <w:right w:val="none" w:sz="0" w:space="0" w:color="auto"/>
      </w:divBdr>
    </w:div>
    <w:div w:id="1502163132">
      <w:bodyDiv w:val="1"/>
      <w:marLeft w:val="0"/>
      <w:marRight w:val="0"/>
      <w:marTop w:val="0"/>
      <w:marBottom w:val="0"/>
      <w:divBdr>
        <w:top w:val="none" w:sz="0" w:space="0" w:color="auto"/>
        <w:left w:val="none" w:sz="0" w:space="0" w:color="auto"/>
        <w:bottom w:val="none" w:sz="0" w:space="0" w:color="auto"/>
        <w:right w:val="none" w:sz="0" w:space="0" w:color="auto"/>
      </w:divBdr>
    </w:div>
    <w:div w:id="1515459082">
      <w:bodyDiv w:val="1"/>
      <w:marLeft w:val="0"/>
      <w:marRight w:val="0"/>
      <w:marTop w:val="0"/>
      <w:marBottom w:val="0"/>
      <w:divBdr>
        <w:top w:val="none" w:sz="0" w:space="0" w:color="auto"/>
        <w:left w:val="none" w:sz="0" w:space="0" w:color="auto"/>
        <w:bottom w:val="none" w:sz="0" w:space="0" w:color="auto"/>
        <w:right w:val="none" w:sz="0" w:space="0" w:color="auto"/>
      </w:divBdr>
    </w:div>
    <w:div w:id="1573932549">
      <w:bodyDiv w:val="1"/>
      <w:marLeft w:val="0"/>
      <w:marRight w:val="0"/>
      <w:marTop w:val="0"/>
      <w:marBottom w:val="0"/>
      <w:divBdr>
        <w:top w:val="none" w:sz="0" w:space="0" w:color="auto"/>
        <w:left w:val="none" w:sz="0" w:space="0" w:color="auto"/>
        <w:bottom w:val="none" w:sz="0" w:space="0" w:color="auto"/>
        <w:right w:val="none" w:sz="0" w:space="0" w:color="auto"/>
      </w:divBdr>
    </w:div>
    <w:div w:id="1576091856">
      <w:bodyDiv w:val="1"/>
      <w:marLeft w:val="0"/>
      <w:marRight w:val="0"/>
      <w:marTop w:val="0"/>
      <w:marBottom w:val="0"/>
      <w:divBdr>
        <w:top w:val="none" w:sz="0" w:space="0" w:color="auto"/>
        <w:left w:val="none" w:sz="0" w:space="0" w:color="auto"/>
        <w:bottom w:val="none" w:sz="0" w:space="0" w:color="auto"/>
        <w:right w:val="none" w:sz="0" w:space="0" w:color="auto"/>
      </w:divBdr>
    </w:div>
    <w:div w:id="1578588617">
      <w:bodyDiv w:val="1"/>
      <w:marLeft w:val="0"/>
      <w:marRight w:val="0"/>
      <w:marTop w:val="0"/>
      <w:marBottom w:val="0"/>
      <w:divBdr>
        <w:top w:val="none" w:sz="0" w:space="0" w:color="auto"/>
        <w:left w:val="none" w:sz="0" w:space="0" w:color="auto"/>
        <w:bottom w:val="none" w:sz="0" w:space="0" w:color="auto"/>
        <w:right w:val="none" w:sz="0" w:space="0" w:color="auto"/>
      </w:divBdr>
    </w:div>
    <w:div w:id="1657297798">
      <w:bodyDiv w:val="1"/>
      <w:marLeft w:val="0"/>
      <w:marRight w:val="0"/>
      <w:marTop w:val="0"/>
      <w:marBottom w:val="0"/>
      <w:divBdr>
        <w:top w:val="none" w:sz="0" w:space="0" w:color="auto"/>
        <w:left w:val="none" w:sz="0" w:space="0" w:color="auto"/>
        <w:bottom w:val="none" w:sz="0" w:space="0" w:color="auto"/>
        <w:right w:val="none" w:sz="0" w:space="0" w:color="auto"/>
      </w:divBdr>
    </w:div>
    <w:div w:id="1678147220">
      <w:bodyDiv w:val="1"/>
      <w:marLeft w:val="0"/>
      <w:marRight w:val="0"/>
      <w:marTop w:val="0"/>
      <w:marBottom w:val="0"/>
      <w:divBdr>
        <w:top w:val="none" w:sz="0" w:space="0" w:color="auto"/>
        <w:left w:val="none" w:sz="0" w:space="0" w:color="auto"/>
        <w:bottom w:val="none" w:sz="0" w:space="0" w:color="auto"/>
        <w:right w:val="none" w:sz="0" w:space="0" w:color="auto"/>
      </w:divBdr>
    </w:div>
    <w:div w:id="1730035280">
      <w:bodyDiv w:val="1"/>
      <w:marLeft w:val="0"/>
      <w:marRight w:val="0"/>
      <w:marTop w:val="0"/>
      <w:marBottom w:val="0"/>
      <w:divBdr>
        <w:top w:val="none" w:sz="0" w:space="0" w:color="auto"/>
        <w:left w:val="none" w:sz="0" w:space="0" w:color="auto"/>
        <w:bottom w:val="none" w:sz="0" w:space="0" w:color="auto"/>
        <w:right w:val="none" w:sz="0" w:space="0" w:color="auto"/>
      </w:divBdr>
    </w:div>
    <w:div w:id="1842037628">
      <w:bodyDiv w:val="1"/>
      <w:marLeft w:val="0"/>
      <w:marRight w:val="0"/>
      <w:marTop w:val="0"/>
      <w:marBottom w:val="0"/>
      <w:divBdr>
        <w:top w:val="none" w:sz="0" w:space="0" w:color="auto"/>
        <w:left w:val="none" w:sz="0" w:space="0" w:color="auto"/>
        <w:bottom w:val="none" w:sz="0" w:space="0" w:color="auto"/>
        <w:right w:val="none" w:sz="0" w:space="0" w:color="auto"/>
      </w:divBdr>
    </w:div>
    <w:div w:id="2038968298">
      <w:bodyDiv w:val="1"/>
      <w:marLeft w:val="0"/>
      <w:marRight w:val="0"/>
      <w:marTop w:val="0"/>
      <w:marBottom w:val="0"/>
      <w:divBdr>
        <w:top w:val="none" w:sz="0" w:space="0" w:color="auto"/>
        <w:left w:val="none" w:sz="0" w:space="0" w:color="auto"/>
        <w:bottom w:val="none" w:sz="0" w:space="0" w:color="auto"/>
        <w:right w:val="none" w:sz="0" w:space="0" w:color="auto"/>
      </w:divBdr>
    </w:div>
    <w:div w:id="213444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1402</TotalTime>
  <Pages>9</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Imad</dc:creator>
  <cp:keywords/>
  <dc:description/>
  <cp:lastModifiedBy>Ameer Imad</cp:lastModifiedBy>
  <cp:revision>1</cp:revision>
  <dcterms:created xsi:type="dcterms:W3CDTF">2024-09-30T02:42:00Z</dcterms:created>
  <dcterms:modified xsi:type="dcterms:W3CDTF">2024-10-01T03:33:00Z</dcterms:modified>
</cp:coreProperties>
</file>