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E293B"/>
          <w:sz w:val="64"/>
          <w:szCs w:val="64"/>
        </w:rPr>
        <w:t xml:space="preserve">ADVERSARIAL BLIND</w:t>
      </w:r>
    </w:p>
    <w:p>
      <w:pPr>
        <w:spacing w:after="80"/>
      </w:pPr>
      <w:r>
        <w:rPr>
          <w:rFonts w:ascii="Arial" w:cs="Arial" w:eastAsia="Arial" w:hAnsi="Arial"/>
          <w:b/>
          <w:bCs/>
          <w:color w:val="1A56DB"/>
          <w:sz w:val="64"/>
          <w:szCs w:val="64"/>
        </w:rPr>
        <w:t xml:space="preserve">EPISTEMIC ENSEMBLE</w:t>
      </w:r>
    </w:p>
    <w:p>
      <w:pPr>
        <w:spacing w:after="320"/>
      </w:pPr>
      <w:r>
        <w:rPr>
          <w:rFonts w:ascii="Arial" w:cs="Arial" w:eastAsia="Arial" w:hAnsi="Arial"/>
          <w:color w:val="475569"/>
          <w:sz w:val="26"/>
          <w:szCs w:val="26"/>
        </w:rPr>
        <w:t xml:space="preserve">Deep-Dive ML Architecture Report: GNN-VAE Oracles, Anomaly Detection,</w:t>
      </w:r>
    </w:p>
    <w:p>
      <w:pPr>
        <w:spacing w:after="120"/>
      </w:pPr>
      <w:r>
        <w:rPr>
          <w:rFonts w:ascii="Arial" w:cs="Arial" w:eastAsia="Arial" w:hAnsi="Arial"/>
          <w:color w:val="475569"/>
          <w:sz w:val="26"/>
          <w:szCs w:val="26"/>
        </w:rPr>
        <w:t xml:space="preserve">3D Gaussian Splatting &amp; VLM Oracle Integration for Physical Failure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r>
              <w:rPr>
                <w:rFonts w:ascii="Arial" w:cs="Arial" w:eastAsia="Arial" w:hAnsi="Arial"/>
                <w:b/>
                <w:bCs/>
                <w:color w:val="1A56DB"/>
                <w:sz w:val="18"/>
                <w:szCs w:val="18"/>
              </w:rPr>
              <w:t xml:space="preserve">Target Platform</w:t>
            </w:r>
          </w:p>
          <w:p>
            <w:r>
              <w:rPr>
                <w:rFonts w:ascii="Arial" w:cs="Arial" w:eastAsia="Arial" w:hAnsi="Arial"/>
                <w:color w:val="1E293B"/>
                <w:sz w:val="20"/>
                <w:szCs w:val="20"/>
              </w:rPr>
              <w:t xml:space="preserve">RTX 4060 Ti — 16 GB VRAM</w:t>
            </w:r>
          </w:p>
        </w:tc>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r>
              <w:rPr>
                <w:rFonts w:ascii="Arial" w:cs="Arial" w:eastAsia="Arial" w:hAnsi="Arial"/>
                <w:b/>
                <w:bCs/>
                <w:color w:val="1A56DB"/>
                <w:sz w:val="18"/>
                <w:szCs w:val="18"/>
              </w:rPr>
              <w:t xml:space="preserve">Constraint</w:t>
            </w:r>
          </w:p>
          <w:p>
            <w:r>
              <w:rPr>
                <w:rFonts w:ascii="Arial" w:cs="Arial" w:eastAsia="Arial" w:hAnsi="Arial"/>
                <w:color w:val="1E293B"/>
                <w:sz w:val="20"/>
                <w:szCs w:val="20"/>
              </w:rPr>
              <w:t xml:space="preserve">48-Hour Implementation</w:t>
            </w:r>
          </w:p>
        </w:tc>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r>
              <w:rPr>
                <w:rFonts w:ascii="Arial" w:cs="Arial" w:eastAsia="Arial" w:hAnsi="Arial"/>
                <w:b/>
                <w:bCs/>
                <w:color w:val="1A56DB"/>
                <w:sz w:val="18"/>
                <w:szCs w:val="18"/>
              </w:rPr>
              <w:t xml:space="preserve">Application</w:t>
            </w:r>
          </w:p>
          <w:p>
            <w:r>
              <w:rPr>
                <w:rFonts w:ascii="Arial" w:cs="Arial" w:eastAsia="Arial" w:hAnsi="Arial"/>
                <w:color w:val="1E293B"/>
                <w:sz w:val="20"/>
                <w:szCs w:val="20"/>
              </w:rPr>
              <w:t xml:space="preserve">Human-Robot Safe Release Window</w:t>
            </w:r>
          </w:p>
        </w:tc>
      </w:tr>
    </w:tbl>
    <w:p>
      <w:pPr>
        <w:spacing w:after="400"/>
      </w:pPr>
    </w:p>
    <w:p>
      <w:pPr>
        <w:pStyle w:val="Heading1"/>
        <w:pBdr>
          <w:bottom w:val="single" w:color="1A56DB" w:sz="8" w:space="6"/>
        </w:pBdr>
        <w:spacing w:before="480" w:after="200"/>
      </w:pPr>
      <w:r>
        <w:rPr>
          <w:rFonts w:ascii="Arial" w:cs="Arial" w:eastAsia="Arial" w:hAnsi="Arial"/>
          <w:b/>
          <w:bCs/>
          <w:color w:val="1E293B"/>
          <w:sz w:val="36"/>
          <w:szCs w:val="36"/>
        </w:rPr>
        <w:t xml:space="preserve">Executive Summary</w:t>
      </w:r>
    </w:p>
    <w:p>
      <w:pPr>
        <w:spacing w:after="140" w:line="280"/>
      </w:pPr>
      <w:r>
        <w:rPr>
          <w:rFonts w:ascii="Arial" w:cs="Arial" w:eastAsia="Arial" w:hAnsi="Arial"/>
          <w:color w:val="1E293B"/>
          <w:sz w:val="22"/>
          <w:szCs w:val="22"/>
        </w:rPr>
        <w:t xml:space="preserve">This report constitutes a principal-researcher-level analysis of four intersecting machine learning paradigms required to construct specialized geometric/statistical oracle modules for the 4-agent Adversarial Blind Epistemic Ensemble (ABEE) system. Each oracle is designed to convert raw RGB/stereo video into a compact, mathematically grounded scalar or tensor representation injected into a Vision-Language Model (VLM) context window to augment physical failure prediction during human-robot handoffs.</w:t>
      </w:r>
    </w:p>
    <w:p>
      <w:pPr>
        <w:spacing w:after="140" w:line="280"/>
      </w:pPr>
      <w:r>
        <w:rPr>
          <w:rFonts w:ascii="Arial" w:cs="Arial" w:eastAsia="Arial" w:hAnsi="Arial"/>
          <w:color w:val="1E293B"/>
          <w:sz w:val="22"/>
          <w:szCs w:val="22"/>
        </w:rPr>
        <w:t xml:space="preserve">The four research vectors analyzed are: (1) Spatio-Temporal Graph Neural Network Variational Autoencoders (ST-GNN-VAE) for structural instability scoring, (2) Unsupervised anomaly detection adapted from industrial inspection paradigms, (3) Dynamic 3D Gaussian Splatting for real-time geometric grounding, and (4) mathematically rigorous oracle injection strategies that preserve VLM attention coherence.</w:t>
      </w:r>
    </w:p>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I — Spatio-Temporal GNN-VAE for Structural Instability Scoring</w:t>
      </w:r>
    </w:p>
    <w:p>
      <w:pPr>
        <w:pStyle w:val="Heading2"/>
        <w:spacing w:before="360" w:after="160"/>
      </w:pPr>
      <w:r>
        <w:rPr>
          <w:rFonts w:ascii="Arial" w:cs="Arial" w:eastAsia="Arial" w:hAnsi="Arial"/>
          <w:b/>
          <w:bCs/>
          <w:color w:val="1A56DB"/>
          <w:sz w:val="28"/>
          <w:szCs w:val="28"/>
        </w:rPr>
        <w:t xml:space="preserve">1.1  Graph Construction: Hand &amp; Gripper as a Dynamic System</w:t>
      </w:r>
    </w:p>
    <w:p>
      <w:pPr>
        <w:spacing w:after="140" w:line="280"/>
      </w:pPr>
      <w:r>
        <w:rPr>
          <w:rFonts w:ascii="Arial" w:cs="Arial" w:eastAsia="Arial" w:hAnsi="Arial"/>
          <w:color w:val="1E293B"/>
          <w:sz w:val="22"/>
          <w:szCs w:val="22"/>
        </w:rPr>
        <w:t xml:space="preserve">The central insight is to treat the hand-gripper contact zone as a dynamic graph G_t = (V_t, E_t, X_t) where each node represents a kinematic landmark and each edge encodes a physical relationship (proximity, contact force, rigidity constraint). Two sub-graphs are maintained and coupled through an inter-graph edge set.</w:t>
      </w:r>
    </w:p>
    <w:p>
      <w:pPr>
        <w:pStyle w:val="Heading3"/>
        <w:spacing w:before="280" w:after="120"/>
      </w:pPr>
      <w:r>
        <w:rPr>
          <w:rFonts w:ascii="Arial" w:cs="Arial" w:eastAsia="Arial" w:hAnsi="Arial"/>
          <w:b/>
          <w:bCs/>
          <w:color w:val="374151"/>
          <w:sz w:val="24"/>
          <w:szCs w:val="24"/>
        </w:rPr>
        <w:t xml:space="preserve">1.1.1  Node Set Definition</w:t>
      </w:r>
    </w:p>
    <w:p>
      <w:pPr>
        <w:spacing w:after="140" w:line="280"/>
      </w:pPr>
      <w:r>
        <w:rPr>
          <w:rFonts w:ascii="Arial" w:cs="Arial" w:eastAsia="Arial" w:hAnsi="Arial"/>
          <w:color w:val="1E293B"/>
          <w:sz w:val="22"/>
          <w:szCs w:val="22"/>
        </w:rPr>
        <w:t xml:space="preserve">Human Hand Sub-Graph (G_H): 21 MediaPipe hand landmarks serving as nodes. Node features x_i^H ∈ R^d_H encode position (3D), velocity (3D), acceleration (3D), and optionally depth uncertainty from stereo disparity — giving d_H = 10 per node.</w:t>
      </w:r>
    </w:p>
    <w:p>
      <w:pPr>
        <w:spacing w:after="140" w:line="280"/>
      </w:pPr>
      <w:r>
        <w:rPr>
          <w:rFonts w:ascii="Arial" w:cs="Arial" w:eastAsia="Arial" w:hAnsi="Arial"/>
          <w:color w:val="1E293B"/>
          <w:sz w:val="22"/>
          <w:szCs w:val="22"/>
        </w:rPr>
        <w:t xml:space="preserve">Robot Gripper Sub-Graph (G_R): 6-12 nodes depending on gripper morphology (finger tips, palm center, wrist joint, tendon attachment points). Node features x_j^R ∈ R^d_R encode joint angles, torque readings from force/torque sensor if available, and Cartesian position — giving d_R = 9 per node.</w:t>
      </w:r>
    </w:p>
    <w:p>
      <w:pPr>
        <w:spacing w:after="140" w:line="280"/>
      </w:pPr>
      <w:r>
        <w:rPr>
          <w:rFonts w:ascii="Arial" w:cs="Arial" w:eastAsia="Arial" w:hAnsi="Arial"/>
          <w:color w:val="1E293B"/>
          <w:sz w:val="22"/>
          <w:szCs w:val="22"/>
        </w:rPr>
        <w:t xml:space="preserve">Coupling Edges E_CR: Cross-graph edges connect human fingertip nodes to nearest gripper surface nodes whenever the Euclidean distance falls below threshold τ_contact = 15mm. Edge features encode contact normal vector and estimated contact force magnitude.</w:t>
      </w:r>
    </w:p>
    <w:p>
      <w:pPr>
        <w:pStyle w:val="Heading3"/>
        <w:spacing w:before="280" w:after="120"/>
      </w:pPr>
      <w:r>
        <w:rPr>
          <w:rFonts w:ascii="Arial" w:cs="Arial" w:eastAsia="Arial" w:hAnsi="Arial"/>
          <w:b/>
          <w:bCs/>
          <w:color w:val="374151"/>
          <w:sz w:val="24"/>
          <w:szCs w:val="24"/>
        </w:rPr>
        <w:t xml:space="preserve">1.1.2  Temporal Graph Sequence</w:t>
      </w:r>
    </w:p>
    <w:p>
      <w:pPr>
        <w:spacing w:after="140" w:line="280"/>
      </w:pPr>
      <w:r>
        <w:rPr>
          <w:rFonts w:ascii="Arial" w:cs="Arial" w:eastAsia="Arial" w:hAnsi="Arial"/>
          <w:color w:val="1E293B"/>
          <w:sz w:val="22"/>
          <w:szCs w:val="22"/>
        </w:rPr>
        <w:t xml:space="preserve">We operate on a sliding window of T = 16 frames at 30 fps (~0.53 seconds). The full input is a temporal graph sequence: {G_t-T+1, ..., G_t}. Temporal edges connect node v_i at time t to v_i at time t-1 with edge weight decaying as exp(-λ(t_current - t_past)).</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G_temporal = {(V_τ, E_τ ∪ E_temporal) | τ ∈ [t-T+1, t]}</w:t>
      </w:r>
    </w:p>
    <w:p>
      <w:pPr>
        <w:pStyle w:val="Heading2"/>
        <w:spacing w:before="360" w:after="160"/>
      </w:pPr>
      <w:r>
        <w:rPr>
          <w:rFonts w:ascii="Arial" w:cs="Arial" w:eastAsia="Arial" w:hAnsi="Arial"/>
          <w:b/>
          <w:bCs/>
          <w:color w:val="1A56DB"/>
          <w:sz w:val="28"/>
          <w:szCs w:val="28"/>
        </w:rPr>
        <w:t xml:space="preserve">1.2  The ST-GNN-VAE Architecture</w:t>
      </w:r>
    </w:p>
    <w:p>
      <w:pPr>
        <w:spacing w:after="140" w:line="280"/>
      </w:pPr>
      <w:r>
        <w:rPr>
          <w:rFonts w:ascii="Arial" w:cs="Arial" w:eastAsia="Arial" w:hAnsi="Arial"/>
          <w:color w:val="1E293B"/>
          <w:sz w:val="22"/>
          <w:szCs w:val="22"/>
        </w:rPr>
        <w:t xml:space="preserve">The encoder employs a two-branch architecture. The spatial encoder uses Graph Attention Network (GAT) layers with multi-head attention (K=4 heads) operating on the within-frame graph. The temporal encoder applies a Temporal Convolutional Network (TCN) over node embeddings across the time window, capturing multi-scale dynamics at 1, 3, and 7-frame receptive fields.</w:t>
      </w:r>
    </w:p>
    <w:p>
      <w:pPr>
        <w:pStyle w:val="Heading3"/>
        <w:spacing w:before="280" w:after="120"/>
      </w:pPr>
      <w:r>
        <w:rPr>
          <w:rFonts w:ascii="Arial" w:cs="Arial" w:eastAsia="Arial" w:hAnsi="Arial"/>
          <w:b/>
          <w:bCs/>
          <w:color w:val="374151"/>
          <w:sz w:val="24"/>
          <w:szCs w:val="24"/>
        </w:rPr>
        <w:t xml:space="preserve">1.2.1  Encoder Architecture</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h_i^(l) = σ( Σ_{j∈N(i)} α_ij^(l) · W^(l) h_j^(l-1) )</w:t>
      </w:r>
    </w:p>
    <w:p>
      <w:pPr>
        <w:spacing w:after="140" w:line="280"/>
      </w:pPr>
      <w:r>
        <w:rPr>
          <w:rFonts w:ascii="Arial" w:cs="Arial" w:eastAsia="Arial" w:hAnsi="Arial"/>
          <w:color w:val="1E293B"/>
          <w:sz w:val="22"/>
          <w:szCs w:val="22"/>
        </w:rPr>
        <w:t xml:space="preserve">where α_ij are attention coefficients computed via softmax over LeakyReLU(a^T [W h_i || W h_j || e_ij]), and e_ij are edge feature embeddings. After L=3 GAT layers, node embeddings are mean-pooled to obtain a frame-level graph embedding g_t ∈ R^256.</w:t>
      </w:r>
    </w:p>
    <w:p>
      <w:pPr>
        <w:spacing w:after="140" w:line="280"/>
      </w:pPr>
      <w:r>
        <w:rPr>
          <w:rFonts w:ascii="Arial" w:cs="Arial" w:eastAsia="Arial" w:hAnsi="Arial"/>
          <w:color w:val="1E293B"/>
          <w:sz w:val="22"/>
          <w:szCs w:val="22"/>
        </w:rPr>
        <w:t xml:space="preserve">Temporal encoding applies a TCN with residual connections over the sequence {g_{t-T+1}, ..., g_t}, producing a context-aware representation c ∈ R^256. The encoder outputs the variational posterior parameters:</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μ_z, log σ_z^2 = MLP_enc(TCN([g_{t-T+1}, ..., g_t]))</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z ~ q_φ(z|G_{1:T}) = N(μ_z, diag(σ_z^2))   z ∈ R^{d_z=64}</w:t>
      </w:r>
    </w:p>
    <w:p>
      <w:pPr>
        <w:pStyle w:val="Heading3"/>
        <w:spacing w:before="280" w:after="120"/>
      </w:pPr>
      <w:r>
        <w:rPr>
          <w:rFonts w:ascii="Arial" w:cs="Arial" w:eastAsia="Arial" w:hAnsi="Arial"/>
          <w:b/>
          <w:bCs/>
          <w:color w:val="374151"/>
          <w:sz w:val="24"/>
          <w:szCs w:val="24"/>
        </w:rPr>
        <w:t xml:space="preserve">1.2.2  Decoder Architecture</w:t>
      </w:r>
    </w:p>
    <w:p>
      <w:pPr>
        <w:spacing w:after="140" w:line="280"/>
      </w:pPr>
      <w:r>
        <w:rPr>
          <w:rFonts w:ascii="Arial" w:cs="Arial" w:eastAsia="Arial" w:hAnsi="Arial"/>
          <w:color w:val="1E293B"/>
          <w:sz w:val="22"/>
          <w:szCs w:val="22"/>
        </w:rPr>
        <w:t xml:space="preserve">The decoder is a mirrored GNN that reconstructs the node feature matrix X_hat_t and edge attribute matrix E_hat_t from z concatenated with a learned graph-structure prior. We also decode the temporal evolution, predicting one-step-ahead node states for auxiliary self-supervised training.</w:t>
      </w:r>
    </w:p>
    <w:p>
      <w:pPr>
        <w:pStyle w:val="Heading2"/>
        <w:spacing w:before="360" w:after="160"/>
      </w:pPr>
      <w:r>
        <w:rPr>
          <w:rFonts w:ascii="Arial" w:cs="Arial" w:eastAsia="Arial" w:hAnsi="Arial"/>
          <w:b/>
          <w:bCs/>
          <w:color w:val="1A56DB"/>
          <w:sz w:val="28"/>
          <w:szCs w:val="28"/>
        </w:rPr>
        <w:t xml:space="preserve">1.3  The ELBO Loss and Anomaly Scoring</w:t>
      </w:r>
    </w:p>
    <w:p>
      <w:pPr>
        <w:spacing w:after="140" w:line="280"/>
      </w:pPr>
      <w:r>
        <w:rPr>
          <w:rFonts w:ascii="Arial" w:cs="Arial" w:eastAsia="Arial" w:hAnsi="Arial"/>
          <w:color w:val="1E293B"/>
          <w:sz w:val="22"/>
          <w:szCs w:val="22"/>
        </w:rPr>
        <w:t xml:space="preserve">Training maximizes the Evidence Lower BOund (ELBO) over a dataset D of successful handoffs only — no failure examples are required for the unsupervised approach:</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L_ELBO = E_{q_φ(z|G_{1:T})}[ log p_θ(G_{1:T}|z) ] - β · KL( q_φ(z|G_{1:T}) || p(z) )</w:t>
      </w:r>
    </w:p>
    <w:p>
      <w:pPr>
        <w:spacing w:after="140" w:line="280"/>
      </w:pPr>
      <w:r>
        <w:rPr>
          <w:rFonts w:ascii="Arial" w:cs="Arial" w:eastAsia="Arial" w:hAnsi="Arial"/>
          <w:color w:val="1E293B"/>
          <w:sz w:val="22"/>
          <w:szCs w:val="22"/>
        </w:rPr>
        <w:t xml:space="preserve">The reconstruction term decomposes into node feature reconstruction and edge attribute reconstruction losses:</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log p_θ(G|z) = Σ_i ||x_i - x_hat_i||^2 + λ_e · Σ_{(i,j)∈E} ||e_ij - e_hat_ij||^2</w:t>
      </w:r>
    </w:p>
    <w:p>
      <w:pPr>
        <w:spacing w:after="140" w:line="280"/>
      </w:pPr>
      <w:r>
        <w:rPr>
          <w:rFonts w:ascii="Arial" w:cs="Arial" w:eastAsia="Arial" w:hAnsi="Arial"/>
          <w:color w:val="1E293B"/>
          <w:sz w:val="22"/>
          <w:szCs w:val="22"/>
        </w:rPr>
        <w:t xml:space="preserve">The KL term uses the closed-form Gaussian solution:</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KL(q||p) = -1/2 · Σ_k (1 + log σ_{z,k}^2 - μ_{z,k}^2 - σ_{z,k}^2)</w:t>
      </w:r>
    </w:p>
    <w:p>
      <w:pPr>
        <w:spacing w:after="140" w:line="280"/>
      </w:pPr>
      <w:r>
        <w:rPr>
          <w:rFonts w:ascii="Arial" w:cs="Arial" w:eastAsia="Arial" w:hAnsi="Arial"/>
          <w:color w:val="1E293B"/>
          <w:sz w:val="22"/>
          <w:szCs w:val="22"/>
        </w:rPr>
        <w:t xml:space="preserve">The β parameter is annealed via a cyclical schedule (β: 0→1 over first 50 epochs, held at 1 thereafter) to prevent posterior collapse — a critical failure mode when node counts vary.</w:t>
      </w:r>
    </w:p>
    <w:p>
      <w:pPr>
        <w:pStyle w:val="Heading3"/>
        <w:spacing w:before="280" w:after="120"/>
      </w:pPr>
      <w:r>
        <w:rPr>
          <w:rFonts w:ascii="Arial" w:cs="Arial" w:eastAsia="Arial" w:hAnsi="Arial"/>
          <w:b/>
          <w:bCs/>
          <w:color w:val="374151"/>
          <w:sz w:val="24"/>
          <w:szCs w:val="24"/>
        </w:rPr>
        <w:t xml:space="preserve">1.3.1  Structural Instability Score</w:t>
      </w:r>
    </w:p>
    <w:p>
      <w:pPr>
        <w:spacing w:after="140" w:line="280"/>
      </w:pPr>
      <w:r>
        <w:rPr>
          <w:rFonts w:ascii="Arial" w:cs="Arial" w:eastAsia="Arial" w:hAnsi="Arial"/>
          <w:color w:val="1E293B"/>
          <w:sz w:val="22"/>
          <w:szCs w:val="22"/>
        </w:rPr>
        <w:t xml:space="preserve">At inference, the anomaly score is the normalized reconstruction error relative to the training distribution of successful handoffs. We use a composite score combining the ELBO-derived reconstruction error and a kinematic discontinuity penalty:</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S_instability(G_{1:T}) = w_1 · ELBO_norm + w_2 · ||(z_t - z_{t-1})||_2 / σ_z_train</w:t>
      </w:r>
    </w:p>
    <w:p>
      <w:pPr>
        <w:spacing w:after="140" w:line="280"/>
      </w:pPr>
      <w:r>
        <w:rPr>
          <w:rFonts w:ascii="Arial" w:cs="Arial" w:eastAsia="Arial" w:hAnsi="Arial"/>
          <w:color w:val="1E293B"/>
          <w:sz w:val="22"/>
          <w:szCs w:val="22"/>
        </w:rPr>
        <w:t xml:space="preserve">where ELBO_norm is the z-scored ELBO under the training distribution N(μ_train, σ_train), and the second term penalizes abrupt latent-space jumps indicative of sudden kinematic events (slips, jerks). The final score is clipped to [0, 1] via sigmoid:</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S_instability ∈ [0, 1] = σ( w_1 · ELBO_norm + w_2 · Δz_norm - τ_bias )</w:t>
      </w:r>
    </w:p>
    <w:p>
      <w:pPr>
        <w:spacing w:after="140" w:line="280"/>
      </w:pPr>
      <w:r>
        <w:rPr>
          <w:rFonts w:ascii="Arial" w:cs="Arial" w:eastAsia="Arial" w:hAnsi="Arial"/>
          <w:color w:val="1E293B"/>
          <w:sz w:val="22"/>
          <w:szCs w:val="22"/>
        </w:rPr>
        <w:t xml:space="preserve">A score &gt;0.7 triggers a HIGH INSTABILITY flag. This scalar is the primary output fed to the VLM oracle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20"/>
              <w:left w:type="dxa" w:w="200"/>
              <w:bottom w:type="dxa" w:w="120"/>
              <w:right w:type="dxa" w:w="200"/>
            </w:tcMar>
          </w:tcPr>
          <w:p>
            <w:pPr>
              <w:spacing w:after="60"/>
            </w:pPr>
            <w:r>
              <w:rPr>
                <w:rFonts w:ascii="Arial" w:cs="Arial" w:eastAsia="Arial" w:hAnsi="Arial"/>
                <w:b/>
                <w:bCs/>
                <w:color w:val="047857"/>
                <w:sz w:val="18"/>
                <w:szCs w:val="18"/>
              </w:rPr>
              <w:t xml:space="preserve">✔ RECOMMENDED APPROACH</w:t>
            </w:r>
          </w:p>
          <w:p>
            <w:pPr>
              <w:spacing w:after="0"/>
            </w:pPr>
            <w:r>
              <w:rPr>
                <w:rFonts w:ascii="Arial" w:cs="Arial" w:eastAsia="Arial" w:hAnsi="Arial"/>
                <w:color w:val="1E293B"/>
                <w:sz w:val="20"/>
                <w:szCs w:val="20"/>
              </w:rPr>
              <w:t xml:space="preserve">Implementation Note: Training dataset should consist of ~500-1000 successful handoff sequences (easily collectable with NVIDIA Isaac Sim or a physical robot). Convergence occurs in ~100 epochs with Adam optimizer (lr=3e-4). Total training time on RTX 4060 Ti: ~2-4 hours.</w:t>
            </w:r>
          </w:p>
        </w:tc>
      </w:tr>
    </w:tbl>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II — Unsupervised Visual Anomaly Detection for Imminent Failure</w:t>
      </w:r>
    </w:p>
    <w:p>
      <w:pPr>
        <w:pStyle w:val="Heading2"/>
        <w:spacing w:before="360" w:after="160"/>
      </w:pPr>
      <w:r>
        <w:rPr>
          <w:rFonts w:ascii="Arial" w:cs="Arial" w:eastAsia="Arial" w:hAnsi="Arial"/>
          <w:b/>
          <w:bCs/>
          <w:color w:val="1A56DB"/>
          <w:sz w:val="28"/>
          <w:szCs w:val="28"/>
        </w:rPr>
        <w:t xml:space="preserve">2.1  Adapting Industrial Anomaly Detection Paradigms</w:t>
      </w:r>
    </w:p>
    <w:p>
      <w:pPr>
        <w:spacing w:after="140" w:line="280"/>
      </w:pPr>
      <w:r>
        <w:rPr>
          <w:rFonts w:ascii="Arial" w:cs="Arial" w:eastAsia="Arial" w:hAnsi="Arial"/>
          <w:color w:val="1E293B"/>
          <w:sz w:val="22"/>
          <w:szCs w:val="22"/>
        </w:rPr>
        <w:t xml:space="preserve">The MVTec AD / Anomalib ecosystem provides a rich set of architectures originally designed for industrial surface inspection. The core paradigm — train on normal samples only, flag deviations at inference — maps directly to the handoff safety domain. Three architectures are particularly relevant:</w:t>
      </w:r>
    </w:p>
    <w:p>
      <w:pPr>
        <w:pStyle w:val="Heading3"/>
        <w:spacing w:before="280" w:after="120"/>
      </w:pPr>
      <w:r>
        <w:rPr>
          <w:rFonts w:ascii="Arial" w:cs="Arial" w:eastAsia="Arial" w:hAnsi="Arial"/>
          <w:b/>
          <w:bCs/>
          <w:color w:val="374151"/>
          <w:sz w:val="24"/>
          <w:szCs w:val="24"/>
        </w:rPr>
        <w:t xml:space="preserve">2.1.1  PatchCore Adaptation</w:t>
      </w:r>
    </w:p>
    <w:p>
      <w:pPr>
        <w:spacing w:after="140" w:line="280"/>
      </w:pPr>
      <w:r>
        <w:rPr>
          <w:rFonts w:ascii="Arial" w:cs="Arial" w:eastAsia="Arial" w:hAnsi="Arial"/>
          <w:color w:val="1E293B"/>
          <w:sz w:val="22"/>
          <w:szCs w:val="22"/>
        </w:rPr>
        <w:t xml:space="preserve">PatchCore (Roth et al., 2022) operates by extracting patch-level embeddings from a pretrained encoder (WideResNet-50 or EfficientNet) and storing a coreset of nominal patch embeddings in memory. At inference, the anomaly score is the distance from each patch embedding to its nearest neighbor in the coreset.</w:t>
      </w:r>
    </w:p>
    <w:p>
      <w:pPr>
        <w:spacing w:after="140" w:line="280"/>
      </w:pPr>
      <w:r>
        <w:rPr>
          <w:rFonts w:ascii="Arial" w:cs="Arial" w:eastAsia="Arial" w:hAnsi="Arial"/>
          <w:color w:val="1E293B"/>
          <w:sz w:val="22"/>
          <w:szCs w:val="22"/>
        </w:rPr>
        <w:t xml:space="preserve">For handoff failure detection, we define the 'texture' as the spatio-temporal contact zone appearance. PatchCore is adapted by: (1) using a region-of-interest (ROI) crop centered on the detected hand-gripper contact zone rather than the full frame, (2) replacing the static coreset with a sliding-window coreset that continuously ingests embeddings from recent successful handoffs to handle distribution shift across sessions.</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S_patch(x) = max_{p∈patches(x)} min_{m∈M} ||φ(p) - m||_2</w:t>
      </w:r>
    </w:p>
    <w:p>
      <w:pPr>
        <w:spacing w:after="140" w:line="280"/>
      </w:pPr>
      <w:r>
        <w:rPr>
          <w:rFonts w:ascii="Arial" w:cs="Arial" w:eastAsia="Arial" w:hAnsi="Arial"/>
          <w:color w:val="1E293B"/>
          <w:sz w:val="22"/>
          <w:szCs w:val="22"/>
        </w:rPr>
        <w:t xml:space="preserve">where φ(p) is the patch embedding and M is the coreset memory bank. The adaptive coreset update uses greedy coreset selection with a maximum bank size of 10,000 embeddings (~40MB at float32 with d=512).</w:t>
      </w:r>
    </w:p>
    <w:p>
      <w:pPr>
        <w:pStyle w:val="Heading3"/>
        <w:spacing w:before="280" w:after="120"/>
      </w:pPr>
      <w:r>
        <w:rPr>
          <w:rFonts w:ascii="Arial" w:cs="Arial" w:eastAsia="Arial" w:hAnsi="Arial"/>
          <w:b/>
          <w:bCs/>
          <w:color w:val="374151"/>
          <w:sz w:val="24"/>
          <w:szCs w:val="24"/>
        </w:rPr>
        <w:t xml:space="preserve">2.1.2  CFA (Coupled-hypersphere-based Feature Adaptation)</w:t>
      </w:r>
    </w:p>
    <w:p>
      <w:pPr>
        <w:spacing w:after="140" w:line="280"/>
      </w:pPr>
      <w:r>
        <w:rPr>
          <w:rFonts w:ascii="Arial" w:cs="Arial" w:eastAsia="Arial" w:hAnsi="Arial"/>
          <w:color w:val="1E293B"/>
          <w:sz w:val="22"/>
          <w:szCs w:val="22"/>
        </w:rPr>
        <w:t xml:space="preserve">CFA introduces a coupled hypersphere for each patch position, learning a position-dependent manifold of normal features. This is superior to PatchCore for our use case because different spatial regions of the handoff have fundamentally different normal distributions (fingertip vs. palm vs. gripper body).</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L_CFA = Σ_p [ ||φ(p) - c_p||^2 / (R_p^2 + ε) + λ · max(0, R_p^2 - δ^2) ]</w:t>
      </w:r>
    </w:p>
    <w:p>
      <w:pPr>
        <w:spacing w:after="140" w:line="280"/>
      </w:pPr>
      <w:r>
        <w:rPr>
          <w:rFonts w:ascii="Arial" w:cs="Arial" w:eastAsia="Arial" w:hAnsi="Arial"/>
          <w:color w:val="1E293B"/>
          <w:sz w:val="22"/>
          <w:szCs w:val="22"/>
        </w:rPr>
        <w:t xml:space="preserve">where c_p is the hypersphere center for patch position p, R_p is the learned radius, and the second term enforces a minimum radius to prevent hypersphere collapse.</w:t>
      </w:r>
    </w:p>
    <w:p>
      <w:pPr>
        <w:pStyle w:val="Heading3"/>
        <w:spacing w:before="280" w:after="120"/>
      </w:pPr>
      <w:r>
        <w:rPr>
          <w:rFonts w:ascii="Arial" w:cs="Arial" w:eastAsia="Arial" w:hAnsi="Arial"/>
          <w:b/>
          <w:bCs/>
          <w:color w:val="374151"/>
          <w:sz w:val="24"/>
          <w:szCs w:val="24"/>
        </w:rPr>
        <w:t xml:space="preserve">2.1.3  Reverse Distillation (RD++) for Temporal Sequences</w:t>
      </w:r>
    </w:p>
    <w:p>
      <w:pPr>
        <w:spacing w:after="140" w:line="280"/>
      </w:pPr>
      <w:r>
        <w:rPr>
          <w:rFonts w:ascii="Arial" w:cs="Arial" w:eastAsia="Arial" w:hAnsi="Arial"/>
          <w:color w:val="1E293B"/>
          <w:sz w:val="22"/>
          <w:szCs w:val="22"/>
        </w:rPr>
        <w:t xml:space="preserve">For video sequences rather than static frames, Reverse Distillation (RD++) offers a compelling adaptation. A teacher network (pretrained, frozen) encodes the nominal handoff appearance, while a student network is trained to reconstruct teacher features from the encoded representation. Anomalies cause reconstruction failures detectable as elevated L2 distances between teacher and student feature maps.</w:t>
      </w:r>
    </w:p>
    <w:p>
      <w:pPr>
        <w:spacing w:after="140" w:line="280"/>
      </w:pPr>
      <w:r>
        <w:rPr>
          <w:rFonts w:ascii="Arial" w:cs="Arial" w:eastAsia="Arial" w:hAnsi="Arial"/>
          <w:color w:val="1E293B"/>
          <w:sz w:val="22"/>
          <w:szCs w:val="22"/>
        </w:rPr>
        <w:t xml:space="preserve">The temporal adaptation involves feeding 4-frame stacked optical flow fields concatenated with the RGB frame as input, making the detector sensitive to motion anomalies (sudden velocity changes) in addition to appearance anomalies.</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S_RD(x_{t-3:t}) = ||F_teacher(x_{t-3:t}) - F_student(E(x_{t-3:t}))||_F</w:t>
      </w:r>
    </w:p>
    <w:p>
      <w:pPr>
        <w:spacing w:after="140" w:line="280"/>
      </w:pPr>
      <w:r>
        <w:rPr>
          <w:rFonts w:ascii="Arial" w:cs="Arial" w:eastAsia="Arial" w:hAnsi="Arial"/>
          <w:color w:val="1E293B"/>
          <w:sz w:val="22"/>
          <w:szCs w:val="22"/>
        </w:rPr>
        <w:t xml:space="preserve">where || · ||_F is the Frobenius norm over the feature map spatial dimensions.</w:t>
      </w:r>
    </w:p>
    <w:p>
      <w:pPr>
        <w:pStyle w:val="Heading2"/>
        <w:spacing w:before="360" w:after="160"/>
      </w:pPr>
      <w:r>
        <w:rPr>
          <w:rFonts w:ascii="Arial" w:cs="Arial" w:eastAsia="Arial" w:hAnsi="Arial"/>
          <w:b/>
          <w:bCs/>
          <w:color w:val="1A56DB"/>
          <w:sz w:val="28"/>
          <w:szCs w:val="28"/>
        </w:rPr>
        <w:t xml:space="preserve">2.2  Failure Taxonomy and Detector Specialization</w:t>
      </w:r>
    </w:p>
    <w:p>
      <w:pPr>
        <w:spacing w:after="140" w:line="280"/>
      </w:pPr>
      <w:r>
        <w:rPr>
          <w:rFonts w:ascii="Arial" w:cs="Arial" w:eastAsia="Arial" w:hAnsi="Arial"/>
          <w:color w:val="1E293B"/>
          <w:sz w:val="22"/>
          <w:szCs w:val="22"/>
        </w:rPr>
        <w:t xml:space="preserve">Not all failures manifest identically. We propose a taxonomy with dedicated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Visual Signature</w:t>
            </w:r>
          </w:p>
        </w:tc>
        <w:tc>
          <w:tcPr>
            <w:tcW w:type="dxa" w:w="3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Best Detector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Slip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Object translation relative to fingers with skin deformation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PatchCore on optical flow ROI — detects texture slip patterns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Tug-of-War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Opposing velocity vectors on object; limb tension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GNN-VAE kinematic anomaly — cross-graph edge tension score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Grip Loosening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Gradual finger extension; contact area reduction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CFA on contact silhouette + GNN-VAE edge deletion events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Gripper Misalignment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Object rotation relative to gripper axis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RD++ on 4-frame sequence — catches rotational motion anomaly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Pre-drop Tremor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High-frequency micro-vibration in hand landmarks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GNN-VAE temporal derivative — high Δz_norm in latent space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60"/>
            </w:pPr>
            <w:r>
              <w:rPr>
                <w:rFonts w:ascii="Arial" w:cs="Arial" w:eastAsia="Arial" w:hAnsi="Arial"/>
                <w:b/>
                <w:bCs/>
                <w:color w:val="1A56DB"/>
                <w:sz w:val="18"/>
                <w:szCs w:val="18"/>
              </w:rPr>
              <w:t xml:space="preserve">ℹ TECHNICAL NOTE</w:t>
            </w:r>
          </w:p>
          <w:p>
            <w:pPr>
              <w:spacing w:after="0"/>
            </w:pPr>
            <w:r>
              <w:rPr>
                <w:rFonts w:ascii="Arial" w:cs="Arial" w:eastAsia="Arial" w:hAnsi="Arial"/>
                <w:color w:val="1E293B"/>
                <w:sz w:val="20"/>
                <w:szCs w:val="20"/>
              </w:rPr>
              <w:t xml:space="preserve">Fusion Strategy: Outputs from PatchCore, CFA, and RD++ are fused via a learned MLP calibration layer (3 inputs → 1 scalar ∈ [0,1]) trained on a small labeled validation set of ~50 failure clips. Total anomaly score S_visual is the output of this calibrator, providing a more robust signal than any single detector.</w:t>
            </w:r>
          </w:p>
        </w:tc>
      </w:tr>
    </w:tbl>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III — Dynamic 3D Gaussian Splatting for Geometric Grounding</w:t>
      </w:r>
    </w:p>
    <w:p>
      <w:pPr>
        <w:pStyle w:val="Heading2"/>
        <w:spacing w:before="360" w:after="160"/>
      </w:pPr>
      <w:r>
        <w:rPr>
          <w:rFonts w:ascii="Arial" w:cs="Arial" w:eastAsia="Arial" w:hAnsi="Arial"/>
          <w:b/>
          <w:bCs/>
          <w:color w:val="1A56DB"/>
          <w:sz w:val="28"/>
          <w:szCs w:val="28"/>
        </w:rPr>
        <w:t xml:space="preserve">3.1  3D Gaussian Splatting: Technical Foundations</w:t>
      </w:r>
    </w:p>
    <w:p>
      <w:pPr>
        <w:spacing w:after="140" w:line="280"/>
      </w:pPr>
      <w:r>
        <w:rPr>
          <w:rFonts w:ascii="Arial" w:cs="Arial" w:eastAsia="Arial" w:hAnsi="Arial"/>
          <w:color w:val="1E293B"/>
          <w:sz w:val="22"/>
          <w:szCs w:val="22"/>
        </w:rPr>
        <w:t xml:space="preserve">3D Gaussian Splatting (3DGS, Kerbl et al., 2023) represents a scene as a collection of N anisotropic Gaussian primitives, each parameterized by: center position μ_k ∈ R^3, full 3D covariance Σ_k ∈ R^{3×3} (stored as rotation R_k and scale s_k), opacity α_k ∈ (0,1), and color via spherical harmonics coefficients c_k.</w:t>
      </w:r>
    </w:p>
    <w:p>
      <w:pPr>
        <w:spacing w:after="140" w:line="280"/>
      </w:pPr>
      <w:r>
        <w:rPr>
          <w:rFonts w:ascii="Arial" w:cs="Arial" w:eastAsia="Arial" w:hAnsi="Arial"/>
          <w:color w:val="1E293B"/>
          <w:sz w:val="22"/>
          <w:szCs w:val="22"/>
        </w:rPr>
        <w:t xml:space="preserve">The rendering equation projects each Gaussian into the image plane and composites contributions via alpha blending in depth order — achieving real-time rendering at 100+ FPS after optimization, since no neural network forward pass is required during rendering.</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I(p) = Σ_{k∈N} c_k · α_k · exp(-1/2 (p - μ_k^{2D})^T (Σ_k^{2D})^{-1} (p - μ_k^{2D})) · Π_{j&lt;k}(1 - α_j)</w:t>
      </w:r>
    </w:p>
    <w:p>
      <w:pPr>
        <w:pStyle w:val="Heading2"/>
        <w:spacing w:before="360" w:after="160"/>
      </w:pPr>
      <w:r>
        <w:rPr>
          <w:rFonts w:ascii="Arial" w:cs="Arial" w:eastAsia="Arial" w:hAnsi="Arial"/>
          <w:b/>
          <w:bCs/>
          <w:color w:val="1A56DB"/>
          <w:sz w:val="28"/>
          <w:szCs w:val="28"/>
        </w:rPr>
        <w:t xml:space="preserve">3.2  Apple SHARP and Dynamic Extension</w:t>
      </w:r>
    </w:p>
    <w:p>
      <w:pPr>
        <w:spacing w:after="140" w:line="280"/>
      </w:pPr>
      <w:r>
        <w:rPr>
          <w:rFonts w:ascii="Arial" w:cs="Arial" w:eastAsia="Arial" w:hAnsi="Arial"/>
          <w:color w:val="1E293B"/>
          <w:sz w:val="22"/>
          <w:szCs w:val="22"/>
        </w:rPr>
        <w:t xml:space="preserve">Apple's SHARP (Shape-Aware Reconstruction of People) and related dynamic 3DGS approaches (Deformable3DGS, 4D-GS, SC-GS) extend static splatting to handle non-rigidly deforming objects — directly relevant to deforming hands and fingers. The key innovation is introducing a deformation field that maps canonical Gaussian positions to per-frame positions:</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μ_k(t) = μ_k^canon + Δμ_k(t)</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R_k(t) = R_k^canon · ΔR_k(t)</w:t>
      </w:r>
    </w:p>
    <w:p>
      <w:pPr>
        <w:spacing w:after="140" w:line="280"/>
      </w:pPr>
      <w:r>
        <w:rPr>
          <w:rFonts w:ascii="Arial" w:cs="Arial" w:eastAsia="Arial" w:hAnsi="Arial"/>
          <w:color w:val="1E293B"/>
          <w:sz w:val="22"/>
          <w:szCs w:val="22"/>
        </w:rPr>
        <w:t xml:space="preserve">SHARP specifically addresses loose, cloth-like deformations with a shape-aware regularization that preserves geometric plausibility. For hands, this manifests as ensuring finger segments maintain length consistency while allowing flexion/extension — analogous to our requirement for gripper articulation tracking.</w:t>
      </w:r>
    </w:p>
    <w:p>
      <w:pPr>
        <w:pStyle w:val="Heading3"/>
        <w:spacing w:before="280" w:after="120"/>
      </w:pPr>
      <w:r>
        <w:rPr>
          <w:rFonts w:ascii="Arial" w:cs="Arial" w:eastAsia="Arial" w:hAnsi="Arial"/>
          <w:b/>
          <w:bCs/>
          <w:color w:val="374151"/>
          <w:sz w:val="24"/>
          <w:szCs w:val="24"/>
        </w:rPr>
        <w:t xml:space="preserve">3.2.1  Monocular Dynamic Reconstruction Challenge</w:t>
      </w:r>
    </w:p>
    <w:p>
      <w:pPr>
        <w:spacing w:after="140" w:line="280"/>
      </w:pPr>
      <w:r>
        <w:rPr>
          <w:rFonts w:ascii="Arial" w:cs="Arial" w:eastAsia="Arial" w:hAnsi="Arial"/>
          <w:color w:val="1E293B"/>
          <w:sz w:val="22"/>
          <w:szCs w:val="22"/>
        </w:rPr>
        <w:t xml:space="preserve">Reconstructing a dynamic 3DGS from a single RGB frame is fundamentally ill-posed without depth priors. The practical pipeline for near-real-time operation on RTX 4060 Ti requires a careful balance of approximation:</w:t>
      </w:r>
    </w:p>
    <w:p>
      <w:pPr>
        <w:pStyle w:val="ListParagraph"/>
        <w:numPr>
          <w:ilvl w:val="0"/>
          <w:numId w:val="2"/>
        </w:numPr>
        <w:spacing w:after="100"/>
      </w:pPr>
      <w:r>
        <w:rPr>
          <w:rFonts w:ascii="Arial" w:cs="Arial" w:eastAsia="Arial" w:hAnsi="Arial"/>
          <w:color w:val="1E293B"/>
          <w:sz w:val="22"/>
          <w:szCs w:val="22"/>
        </w:rPr>
        <w:t xml:space="preserve">Stage 1 — Depth Estimation (10-15ms): Run a lightweight monocular depth model (Depth Anything V2 small, or ZoeDepth) to produce a dense depth map D(u,v). VRAM: ~800MB.</w:t>
      </w:r>
    </w:p>
    <w:p>
      <w:pPr>
        <w:pStyle w:val="ListParagraph"/>
        <w:numPr>
          <w:ilvl w:val="0"/>
          <w:numId w:val="2"/>
        </w:numPr>
        <w:spacing w:after="100"/>
      </w:pPr>
      <w:r>
        <w:rPr>
          <w:rFonts w:ascii="Arial" w:cs="Arial" w:eastAsia="Arial" w:hAnsi="Arial"/>
          <w:color w:val="1E293B"/>
          <w:sz w:val="22"/>
          <w:szCs w:val="22"/>
        </w:rPr>
        <w:t xml:space="preserve">Stage 2 — Point Cloud Initialization (2ms): Unproject the depth map to 3D using camera intrinsics K, producing an initial point cloud P = K^{-1} · D(u,v) · [u, v, 1]^T.</w:t>
      </w:r>
    </w:p>
    <w:p>
      <w:pPr>
        <w:pStyle w:val="ListParagraph"/>
        <w:numPr>
          <w:ilvl w:val="0"/>
          <w:numId w:val="2"/>
        </w:numPr>
        <w:spacing w:after="100"/>
      </w:pPr>
      <w:r>
        <w:rPr>
          <w:rFonts w:ascii="Arial" w:cs="Arial" w:eastAsia="Arial" w:hAnsi="Arial"/>
          <w:color w:val="1E293B"/>
          <w:sz w:val="22"/>
          <w:szCs w:val="22"/>
        </w:rPr>
        <w:t xml:space="preserve">Stage 3 — Sparse 3DGS Fitting (40-80ms): Initialize ~2,000-5,000 Gaussians from P and optimize for 300-500 iterations using tile-based rasterizer. For real-time constraint, we restrict the optimization to the hand-gripper ROI (~15% of image area), reducing the problem significantly.</w:t>
      </w:r>
    </w:p>
    <w:p>
      <w:pPr>
        <w:pStyle w:val="ListParagraph"/>
        <w:numPr>
          <w:ilvl w:val="0"/>
          <w:numId w:val="2"/>
        </w:numPr>
        <w:spacing w:after="100"/>
      </w:pPr>
      <w:r>
        <w:rPr>
          <w:rFonts w:ascii="Arial" w:cs="Arial" w:eastAsia="Arial" w:hAnsi="Arial"/>
          <w:color w:val="1E293B"/>
          <w:sz w:val="22"/>
          <w:szCs w:val="22"/>
        </w:rPr>
        <w:t xml:space="preserve">Stage 4 — Temporal Deformation Update (5-10ms): Rather than re-optimizing from scratch each frame, apply the deformation field from the previous frame as initialization with a warm-start strategy, requiring only 50-100 iterations to converge.</w:t>
      </w:r>
    </w:p>
    <w:p>
      <w:pPr>
        <w:pStyle w:val="Heading2"/>
        <w:spacing w:before="360" w:after="160"/>
      </w:pPr>
      <w:r>
        <w:rPr>
          <w:rFonts w:ascii="Arial" w:cs="Arial" w:eastAsia="Arial" w:hAnsi="Arial"/>
          <w:b/>
          <w:bCs/>
          <w:color w:val="1A56DB"/>
          <w:sz w:val="28"/>
          <w:szCs w:val="28"/>
        </w:rPr>
        <w:t xml:space="preserve">3.3  Feasibility Analysis: RTX 4060 Ti Constraints</w:t>
      </w:r>
    </w:p>
    <w:p>
      <w:pPr>
        <w:spacing w:after="140" w:line="280"/>
      </w:pPr>
      <w:r>
        <w:rPr>
          <w:rFonts w:ascii="Arial" w:cs="Arial" w:eastAsia="Arial" w:hAnsi="Arial"/>
          <w:color w:val="1E293B"/>
          <w:sz w:val="22"/>
          <w:szCs w:val="22"/>
        </w:rPr>
        <w:t xml:space="preserve">The key question is whether a meaningful geometric representation can be extracted within the 33ms frame budget of a 30fps pipeline. Full high-fidelity dynamic 3DGS as used in SHARP/4D-GS papers requires minutes per scene — clearly infeasible. However, a task-specific, severely pruned version targeting the contact zone is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20"/>
              <w:left w:type="dxa" w:w="200"/>
              <w:bottom w:type="dxa" w:w="120"/>
              <w:right w:type="dxa" w:w="200"/>
            </w:tcMar>
          </w:tcPr>
          <w:p>
            <w:pPr>
              <w:spacing w:after="60"/>
            </w:pPr>
            <w:r>
              <w:rPr>
                <w:rFonts w:ascii="Arial" w:cs="Arial" w:eastAsia="Arial" w:hAnsi="Arial"/>
                <w:b/>
                <w:bCs/>
                <w:color w:val="B91C1C"/>
                <w:sz w:val="18"/>
                <w:szCs w:val="18"/>
              </w:rPr>
              <w:t xml:space="preserve">✖ CRITICAL CONSTRAINT</w:t>
            </w:r>
          </w:p>
          <w:p>
            <w:pPr>
              <w:spacing w:after="0"/>
            </w:pPr>
            <w:r>
              <w:rPr>
                <w:rFonts w:ascii="Arial" w:cs="Arial" w:eastAsia="Arial" w:hAnsi="Arial"/>
                <w:color w:val="1E293B"/>
                <w:sz w:val="20"/>
                <w:szCs w:val="20"/>
              </w:rPr>
              <w:t xml:space="preserve">CRITICAL REALISM CHECK: Full dynamic 3DGS reconstruction per-frame on a consumer GPU is NOT feasible within 33ms. The practical approach is a 'Geometric Feature Distillation' strategy: pre-train a lightweight CNN to regress compact geometric descriptors (object pose, contact surface normal, grip aperture) from RGB, supervised by offline 3DGS reconstructions used as pseudo-ground-truth labels. At inference, only the fast CNN runs (~5ms), while the 3DGS oracle produces training labels offline.</w:t>
            </w:r>
          </w:p>
        </w:tc>
      </w:tr>
    </w:tbl>
    <w:p>
      <w:pPr>
        <w:pStyle w:val="Heading3"/>
        <w:spacing w:before="280" w:after="120"/>
      </w:pPr>
      <w:r>
        <w:rPr>
          <w:rFonts w:ascii="Arial" w:cs="Arial" w:eastAsia="Arial" w:hAnsi="Arial"/>
          <w:b/>
          <w:bCs/>
          <w:color w:val="374151"/>
          <w:sz w:val="24"/>
          <w:szCs w:val="24"/>
        </w:rPr>
        <w:t xml:space="preserve">3.3.1  Geometric Feature Distillation — The Viable Path</w:t>
      </w:r>
    </w:p>
    <w:p>
      <w:pPr>
        <w:spacing w:after="140" w:line="280"/>
      </w:pPr>
      <w:r>
        <w:rPr>
          <w:rFonts w:ascii="Arial" w:cs="Arial" w:eastAsia="Arial" w:hAnsi="Arial"/>
          <w:color w:val="1E293B"/>
          <w:sz w:val="22"/>
          <w:szCs w:val="22"/>
        </w:rPr>
        <w:t xml:space="preserve">The distillation approach works as follows. During an offline phase (feasible within 48-hour constraint for pre-recorded datasets), full 3DGS is computed for all training clips, producing ground-truth geometric descriptors per frame: object pose SE(3), contact surface normal n ∈ R^3, grip aperture g ∈ R, object bounding ellipsoid semi-axes a ∈ R^3.</w:t>
      </w:r>
    </w:p>
    <w:p>
      <w:pPr>
        <w:spacing w:after="140" w:line="280"/>
      </w:pPr>
      <w:r>
        <w:rPr>
          <w:rFonts w:ascii="Arial" w:cs="Arial" w:eastAsia="Arial" w:hAnsi="Arial"/>
          <w:color w:val="1E293B"/>
          <w:sz w:val="22"/>
          <w:szCs w:val="22"/>
        </w:rPr>
        <w:t xml:space="preserve">A compact CNN student model (MobileNetV3-small backbone + lightweight head, ~3MB) is then trained to regress these descriptors from RGB input:</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L_distill = ||SE3_pred - SE3_gt||_{geodesic} + λ_n ||n_pred - n_gt||^2 + λ_g |g_pred - g_gt|^2 + λ_a ||a_pred - a_gt||^2</w:t>
      </w:r>
    </w:p>
    <w:p>
      <w:pPr>
        <w:spacing w:after="140" w:line="280"/>
      </w:pPr>
      <w:r>
        <w:rPr>
          <w:rFonts w:ascii="Arial" w:cs="Arial" w:eastAsia="Arial" w:hAnsi="Arial"/>
          <w:color w:val="1E293B"/>
          <w:sz w:val="22"/>
          <w:szCs w:val="22"/>
        </w:rPr>
        <w:t xml:space="preserve">At inference, this student produces a 16-dimensional geometric descriptor vector φ_geo ∈ R^16 in ~5ms, encoding the physical geometry of the handoff without any iterative optimization.</w:t>
      </w:r>
    </w:p>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IV — Oracle Integration Strategy: Injecting Non-Textual Signals into VLMs</w:t>
      </w:r>
    </w:p>
    <w:p>
      <w:pPr>
        <w:pStyle w:val="Heading2"/>
        <w:spacing w:before="360" w:after="160"/>
      </w:pPr>
      <w:r>
        <w:rPr>
          <w:rFonts w:ascii="Arial" w:cs="Arial" w:eastAsia="Arial" w:hAnsi="Arial"/>
          <w:b/>
          <w:bCs/>
          <w:color w:val="1A56DB"/>
          <w:sz w:val="28"/>
          <w:szCs w:val="28"/>
        </w:rPr>
        <w:t xml:space="preserve">4.1  The Mathematical Challenge of Oracle Injection</w:t>
      </w:r>
    </w:p>
    <w:p>
      <w:pPr>
        <w:spacing w:after="140" w:line="280"/>
      </w:pPr>
      <w:r>
        <w:rPr>
          <w:rFonts w:ascii="Arial" w:cs="Arial" w:eastAsia="Arial" w:hAnsi="Arial"/>
          <w:color w:val="1E293B"/>
          <w:sz w:val="22"/>
          <w:szCs w:val="22"/>
        </w:rPr>
        <w:t xml:space="preserve">A standard VLM processes a sequence of tokens T = [t_1, ..., t_n] where each token is embedded into R^d (d=4096 for LLaMA-class models). The self-attention mechanism computes pairwise interactions between all token embeddings. The challenge is injecting a continuous numerical signal — our oracle scores — without disrupting the semantic structure the LLM has learned.</w:t>
      </w:r>
    </w:p>
    <w:p>
      <w:pPr>
        <w:spacing w:after="140" w:line="280"/>
      </w:pPr>
      <w:r>
        <w:rPr>
          <w:rFonts w:ascii="Arial" w:cs="Arial" w:eastAsia="Arial" w:hAnsi="Arial"/>
          <w:color w:val="1E293B"/>
          <w:sz w:val="22"/>
          <w:szCs w:val="22"/>
        </w:rPr>
        <w:t xml:space="preserve">Three integration strategies exist with meaningfully different trade-offs, analyzed below.</w:t>
      </w:r>
    </w:p>
    <w:p>
      <w:pPr>
        <w:pStyle w:val="Heading2"/>
        <w:spacing w:before="360" w:after="160"/>
      </w:pPr>
      <w:r>
        <w:rPr>
          <w:rFonts w:ascii="Arial" w:cs="Arial" w:eastAsia="Arial" w:hAnsi="Arial"/>
          <w:b/>
          <w:bCs/>
          <w:color w:val="1A56DB"/>
          <w:sz w:val="28"/>
          <w:szCs w:val="28"/>
        </w:rPr>
        <w:t xml:space="preserve">4.2  Strategy A — Verbalized Numerical Tokens (Recommended)</w:t>
      </w:r>
    </w:p>
    <w:p>
      <w:pPr>
        <w:spacing w:after="140" w:line="280"/>
      </w:pPr>
      <w:r>
        <w:rPr>
          <w:rFonts w:ascii="Arial" w:cs="Arial" w:eastAsia="Arial" w:hAnsi="Arial"/>
          <w:color w:val="1E293B"/>
          <w:sz w:val="22"/>
          <w:szCs w:val="22"/>
        </w:rPr>
        <w:t xml:space="preserve">The simplest and most robust approach is natural language serialization of oracle outputs, appended as structured text to the prompt prefix. This preserves full attention coherence since all inputs remain in the token space the LLM was trained on.</w:t>
      </w:r>
    </w:p>
    <w:p>
      <w:pPr>
        <w:pStyle w:val="Heading3"/>
        <w:spacing w:before="280" w:after="120"/>
      </w:pPr>
      <w:r>
        <w:rPr>
          <w:rFonts w:ascii="Arial" w:cs="Arial" w:eastAsia="Arial" w:hAnsi="Arial"/>
          <w:b/>
          <w:bCs/>
          <w:color w:val="374151"/>
          <w:sz w:val="24"/>
          <w:szCs w:val="24"/>
        </w:rPr>
        <w:t xml:space="preserve">4.2.1  Structured Oracle Prompt Template</w:t>
      </w:r>
    </w:p>
    <w:p>
      <w:pPr>
        <w:shd w:fill="1E293B" w:val="clear"/>
        <w:spacing w:before="80" w:after="80"/>
        <w:ind w:left="360" w:right="360"/>
      </w:pPr>
      <w:r>
        <w:rPr>
          <w:rFonts w:ascii="Courier New" w:cs="Courier New" w:eastAsia="Courier New" w:hAnsi="Courier New"/>
          <w:color w:val="E2E8F0"/>
          <w:sz w:val="18"/>
          <w:szCs w:val="18"/>
        </w:rPr>
        <w:t xml:space="preserve">[PHYSICAL ORACLE REPORT — Frame 127, t=4.23s]</w:t>
      </w:r>
    </w:p>
    <w:p>
      <w:pPr>
        <w:shd w:fill="1E293B" w:val="clear"/>
        <w:spacing w:before="80" w:after="80"/>
        <w:ind w:left="360" w:right="360"/>
      </w:pPr>
      <w:r>
        <w:rPr>
          <w:rFonts w:ascii="Courier New" w:cs="Courier New" w:eastAsia="Courier New" w:hAnsi="Courier New"/>
          <w:color w:val="E2E8F0"/>
          <w:sz w:val="18"/>
          <w:szCs w:val="18"/>
        </w:rPr>
        <w:t xml:space="preserve">Kinematic Instability Score (GNN-VAE): 0.847 [ELEVATED — 2.3σ above nominal]</w:t>
      </w:r>
    </w:p>
    <w:p>
      <w:pPr>
        <w:shd w:fill="1E293B" w:val="clear"/>
        <w:spacing w:before="80" w:after="80"/>
        <w:ind w:left="360" w:right="360"/>
      </w:pPr>
      <w:r>
        <w:rPr>
          <w:rFonts w:ascii="Courier New" w:cs="Courier New" w:eastAsia="Courier New" w:hAnsi="Courier New"/>
          <w:color w:val="E2E8F0"/>
          <w:sz w:val="18"/>
          <w:szCs w:val="18"/>
        </w:rPr>
        <w:t xml:space="preserve">Visual Anomaly Score (Patch+CFA+RD++): 0.612 [MODERATE — 1.4σ above nominal]</w:t>
      </w:r>
    </w:p>
    <w:p>
      <w:pPr>
        <w:shd w:fill="1E293B" w:val="clear"/>
        <w:spacing w:before="80" w:after="80"/>
        <w:ind w:left="360" w:right="360"/>
      </w:pPr>
      <w:r>
        <w:rPr>
          <w:rFonts w:ascii="Courier New" w:cs="Courier New" w:eastAsia="Courier New" w:hAnsi="Courier New"/>
          <w:color w:val="E2E8F0"/>
          <w:sz w:val="18"/>
          <w:szCs w:val="18"/>
        </w:rPr>
        <w:t xml:space="preserve">Geometric Descriptor:</w:t>
      </w:r>
    </w:p>
    <w:p>
      <w:pPr>
        <w:shd w:fill="1E293B" w:val="clear"/>
        <w:spacing w:before="80" w:after="80"/>
        <w:ind w:left="360" w:right="360"/>
      </w:pPr>
      <w:r>
        <w:rPr>
          <w:rFonts w:ascii="Courier New" w:cs="Courier New" w:eastAsia="Courier New" w:hAnsi="Courier New"/>
          <w:color w:val="E2E8F0"/>
          <w:sz w:val="18"/>
          <w:szCs w:val="18"/>
        </w:rPr>
        <w:t xml:space="preserve">  Object Pose: R=[0.98, 0.12, -0.15], t=[0.023, -0.041, 0.312]m</w:t>
      </w:r>
    </w:p>
    <w:p>
      <w:pPr>
        <w:shd w:fill="1E293B" w:val="clear"/>
        <w:spacing w:before="80" w:after="80"/>
        <w:ind w:left="360" w:right="360"/>
      </w:pPr>
      <w:r>
        <w:rPr>
          <w:rFonts w:ascii="Courier New" w:cs="Courier New" w:eastAsia="Courier New" w:hAnsi="Courier New"/>
          <w:color w:val="E2E8F0"/>
          <w:sz w:val="18"/>
          <w:szCs w:val="18"/>
        </w:rPr>
        <w:t xml:space="preserve">  Contact Normal: [0.12, 0.94, 0.31] | Grip Aperture: 0.041m</w:t>
      </w:r>
    </w:p>
    <w:p>
      <w:pPr>
        <w:shd w:fill="1E293B" w:val="clear"/>
        <w:spacing w:before="80" w:after="80"/>
        <w:ind w:left="360" w:right="360"/>
      </w:pPr>
      <w:r>
        <w:rPr>
          <w:rFonts w:ascii="Courier New" w:cs="Courier New" w:eastAsia="Courier New" w:hAnsi="Courier New"/>
          <w:color w:val="E2E8F0"/>
          <w:sz w:val="18"/>
          <w:szCs w:val="18"/>
        </w:rPr>
        <w:t xml:space="preserve">  Object Bounding Ellipsoid: [0.042, 0.031, 0.028]m semi-axes</w:t>
      </w:r>
    </w:p>
    <w:p>
      <w:pPr>
        <w:shd w:fill="1E293B" w:val="clear"/>
        <w:spacing w:before="80" w:after="80"/>
        <w:ind w:left="360" w:right="360"/>
      </w:pPr>
      <w:r>
        <w:rPr>
          <w:rFonts w:ascii="Courier New" w:cs="Courier New" w:eastAsia="Courier New" w:hAnsi="Courier New"/>
          <w:color w:val="E2E8F0"/>
          <w:sz w:val="18"/>
          <w:szCs w:val="18"/>
        </w:rPr>
        <w:t xml:space="preserve">Detected Failure Mode: GRIP_LOOSENING (confidence: 0.71)</w:t>
      </w:r>
    </w:p>
    <w:p>
      <w:pPr>
        <w:shd w:fill="1E293B" w:val="clear"/>
        <w:spacing w:before="80" w:after="80"/>
        <w:ind w:left="360" w:right="360"/>
      </w:pPr>
      <w:r>
        <w:rPr>
          <w:rFonts w:ascii="Courier New" w:cs="Courier New" w:eastAsia="Courier New" w:hAnsi="Courier New"/>
          <w:color w:val="E2E8F0"/>
          <w:sz w:val="18"/>
          <w:szCs w:val="18"/>
        </w:rPr>
        <w:t xml:space="preserve">[END ORACLE REPORT]</w:t>
      </w:r>
    </w:p>
    <w:p>
      <w:pPr>
        <w:spacing w:after="120"/>
      </w:pPr>
    </w:p>
    <w:p>
      <w:pPr>
        <w:spacing w:after="140" w:line="280"/>
      </w:pPr>
      <w:r>
        <w:rPr>
          <w:rFonts w:ascii="Arial" w:cs="Arial" w:eastAsia="Arial" w:hAnsi="Arial"/>
          <w:color w:val="1E293B"/>
          <w:sz w:val="22"/>
          <w:szCs w:val="22"/>
        </w:rPr>
        <w:t xml:space="preserve">This text block is prepended to the VLM's visual question-answering prompt. Crucially, the LLM's attention mechanism can naturally cross-attend between the numerical oracle report and the visual tokens, allowing it to reason about the physical grounding explicitly.</w:t>
      </w:r>
    </w:p>
    <w:p>
      <w:pPr>
        <w:spacing w:after="140" w:line="280"/>
      </w:pPr>
      <w:r>
        <w:rPr>
          <w:rFonts w:ascii="Arial" w:cs="Arial" w:eastAsia="Arial" w:hAnsi="Arial"/>
          <w:color w:val="1E293B"/>
          <w:sz w:val="22"/>
          <w:szCs w:val="22"/>
        </w:rPr>
        <w:t xml:space="preserve">The verbalization of scores with sigma-deviation context (e.g., '2.3σ above nominal') is important — it provides the LLM with calibrated uncertainty rather than raw scalars, which LLMs reason about more reliably due to training data characteristics.</w:t>
      </w:r>
    </w:p>
    <w:p>
      <w:pPr>
        <w:pStyle w:val="Heading2"/>
        <w:spacing w:before="360" w:after="160"/>
      </w:pPr>
      <w:r>
        <w:rPr>
          <w:rFonts w:ascii="Arial" w:cs="Arial" w:eastAsia="Arial" w:hAnsi="Arial"/>
          <w:b/>
          <w:bCs/>
          <w:color w:val="1A56DB"/>
          <w:sz w:val="28"/>
          <w:szCs w:val="28"/>
        </w:rPr>
        <w:t xml:space="preserve">4.3  Strategy B — Soft Prompt / Prefix Tuning with Oracle Embeddings</w:t>
      </w:r>
    </w:p>
    <w:p>
      <w:pPr>
        <w:spacing w:after="140" w:line="280"/>
      </w:pPr>
      <w:r>
        <w:rPr>
          <w:rFonts w:ascii="Arial" w:cs="Arial" w:eastAsia="Arial" w:hAnsi="Arial"/>
          <w:color w:val="1E293B"/>
          <w:sz w:val="22"/>
          <w:szCs w:val="22"/>
        </w:rPr>
        <w:t xml:space="preserve">A more expressive but training-intensive approach injects the oracle vector directly as learned virtual tokens. This requires a lightweight linear projection layer P: R^d_oracle → R^{n_prefix × d_model} that maps oracle outputs to k=4 virtual prefix tokens prepended to the attention sequence.</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h_oracle = LayerNorm(P · concat(S_instability, S_visual, φ_geo))</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Input = [h_oracle_1, ..., h_oracle_k, t_system_1, ..., t_system_n, t_image_1, ..., t_image_m]</w:t>
      </w:r>
    </w:p>
    <w:p>
      <w:pPr>
        <w:spacing w:after="140" w:line="280"/>
      </w:pPr>
      <w:r>
        <w:rPr>
          <w:rFonts w:ascii="Arial" w:cs="Arial" w:eastAsia="Arial" w:hAnsi="Arial"/>
          <w:color w:val="1E293B"/>
          <w:sz w:val="22"/>
          <w:szCs w:val="22"/>
        </w:rPr>
        <w:t xml:space="preserve">The projection P is the only trained parameter (4 × 4096 × (1+1+16) = ~300K parameters for a 4096-dim model). It is fine-tuned on handoff prediction tasks while the backbone LLM remains frozen. This achieves better oracle-language fusion than pure verbalization but requires supervised fine-tuning data with oracle scores as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pPr>
              <w:spacing w:after="60"/>
            </w:pPr>
            <w:r>
              <w:rPr>
                <w:rFonts w:ascii="Arial" w:cs="Arial" w:eastAsia="Arial" w:hAnsi="Arial"/>
                <w:b/>
                <w:bCs/>
                <w:color w:val="B45309"/>
                <w:sz w:val="18"/>
                <w:szCs w:val="18"/>
              </w:rPr>
              <w:t xml:space="preserve">⚠ IMPLEMENTATION WARNING</w:t>
            </w:r>
          </w:p>
          <w:p>
            <w:pPr>
              <w:spacing w:after="0"/>
            </w:pPr>
            <w:r>
              <w:rPr>
                <w:rFonts w:ascii="Arial" w:cs="Arial" w:eastAsia="Arial" w:hAnsi="Arial"/>
                <w:color w:val="1E293B"/>
                <w:sz w:val="20"/>
                <w:szCs w:val="20"/>
              </w:rPr>
              <w:t xml:space="preserve">48-Hour Feasibility: Strategy B requires LLM fine-tuning infrastructure and labeled data for the projection layer. For the hackathon timeline, Strategy A (verbalization) is strongly recommended as the primary implementation, with Strategy B noted as a post-competition enhancement path.</w:t>
            </w:r>
          </w:p>
        </w:tc>
      </w:tr>
    </w:tbl>
    <w:p>
      <w:pPr>
        <w:pStyle w:val="Heading2"/>
        <w:spacing w:before="360" w:after="160"/>
      </w:pPr>
      <w:r>
        <w:rPr>
          <w:rFonts w:ascii="Arial" w:cs="Arial" w:eastAsia="Arial" w:hAnsi="Arial"/>
          <w:b/>
          <w:bCs/>
          <w:color w:val="1A56DB"/>
          <w:sz w:val="28"/>
          <w:szCs w:val="28"/>
        </w:rPr>
        <w:t xml:space="preserve">4.4  Strategy C — Cross-Attention Fusion (Research-Grade)</w:t>
      </w:r>
    </w:p>
    <w:p>
      <w:pPr>
        <w:spacing w:after="140" w:line="280"/>
      </w:pPr>
      <w:r>
        <w:rPr>
          <w:rFonts w:ascii="Arial" w:cs="Arial" w:eastAsia="Arial" w:hAnsi="Arial"/>
          <w:color w:val="1E293B"/>
          <w:sz w:val="22"/>
          <w:szCs w:val="22"/>
        </w:rPr>
        <w:t xml:space="preserve">The highest-fidelity approach modifies the VLM's architecture to introduce a dedicated cross-attention module that attends over continuous oracle embeddings. This is architecturally similar to how Flamingo (Alayrac et al., 2022) introduces Perceiver Resampler modules for visual conditioning:</w:t>
      </w:r>
    </w:p>
    <w:p>
      <w:pPr>
        <w:shd w:fill="F0F4FF" w:val="clear"/>
        <w:spacing w:before="160" w:after="160"/>
        <w:ind w:left="720" w:right="720"/>
        <w:jc w:val="center"/>
      </w:pPr>
      <w:r>
        <w:rPr>
          <w:rFonts w:ascii="Courier New" w:cs="Courier New" w:eastAsia="Courier New" w:hAnsi="Courier New"/>
          <w:b/>
          <w:bCs/>
          <w:color w:val="1A1A2E"/>
          <w:sz w:val="22"/>
          <w:szCs w:val="22"/>
        </w:rPr>
        <w:t xml:space="preserve">CA(Q, K_oracle, V_oracle) = softmax(QK_oracle^T / √d_k) V_oracle</w:t>
      </w:r>
    </w:p>
    <w:p>
      <w:pPr>
        <w:spacing w:after="140" w:line="280"/>
      </w:pPr>
      <w:r>
        <w:rPr>
          <w:rFonts w:ascii="Arial" w:cs="Arial" w:eastAsia="Arial" w:hAnsi="Arial"/>
          <w:color w:val="1E293B"/>
          <w:sz w:val="22"/>
          <w:szCs w:val="22"/>
        </w:rPr>
        <w:t xml:space="preserve">where Q are queries from the LLM's existing hidden states, and K_oracle, V_oracle are projected from the oracle feature vector. This requires modifying the LLM architecture and is incompatible with most VLM inference APIs — strictly a research approach.</w:t>
      </w:r>
    </w:p>
    <w:p>
      <w:pPr>
        <w:pStyle w:val="Heading2"/>
        <w:spacing w:before="360" w:after="160"/>
      </w:pPr>
      <w:r>
        <w:rPr>
          <w:rFonts w:ascii="Arial" w:cs="Arial" w:eastAsia="Arial" w:hAnsi="Arial"/>
          <w:b/>
          <w:bCs/>
          <w:color w:val="1A56DB"/>
          <w:sz w:val="28"/>
          <w:szCs w:val="28"/>
        </w:rPr>
        <w:t xml:space="preserve">4.5  Attention Preservation Analysis</w:t>
      </w:r>
    </w:p>
    <w:p>
      <w:pPr>
        <w:spacing w:after="140" w:line="280"/>
      </w:pPr>
      <w:r>
        <w:rPr>
          <w:rFonts w:ascii="Arial" w:cs="Arial" w:eastAsia="Arial" w:hAnsi="Arial"/>
          <w:color w:val="1E293B"/>
          <w:sz w:val="22"/>
          <w:szCs w:val="22"/>
        </w:rPr>
        <w:t xml:space="preserve">A critical concern is whether numerical tokens interfere with the LLM's visual reasoning. Empirical evidence from recent work on tool-augmented LLMs (Schick et al., Toolformer; Parisi et al., TALM) shows that structured text injections do not degrade base language capabilities provided: (1) the injection format uses consistent delimiters the model can parse, (2) the injection is prepended (not interleaved) with visual tokens, and (3) the total injected token count remains below ~200 tokens (~15% of typical 1280-token context budget).</w:t>
      </w:r>
    </w:p>
    <w:p>
      <w:pPr>
        <w:spacing w:after="140" w:line="280"/>
      </w:pPr>
      <w:r>
        <w:rPr>
          <w:rFonts w:ascii="Arial" w:cs="Arial" w:eastAsia="Arial" w:hAnsi="Arial"/>
          <w:color w:val="1E293B"/>
          <w:sz w:val="22"/>
          <w:szCs w:val="22"/>
        </w:rPr>
        <w:t xml:space="preserve">Our oracle report template uses ~80 tokens — well within the safe window. The structured format with uppercase keys and explicit units enables the LLM's natural language understanding to correctly interpret physical magnitudes (0.041m grip aperture is intuitively parseable by an instruction-tuned model).</w:t>
      </w:r>
    </w:p>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V — RTX 4060 Ti Latency Analysis &amp; System Integration</w:t>
      </w:r>
    </w:p>
    <w:p>
      <w:pPr>
        <w:pStyle w:val="Heading2"/>
        <w:spacing w:before="360" w:after="160"/>
      </w:pPr>
      <w:r>
        <w:rPr>
          <w:rFonts w:ascii="Arial" w:cs="Arial" w:eastAsia="Arial" w:hAnsi="Arial"/>
          <w:b/>
          <w:bCs/>
          <w:color w:val="1A56DB"/>
          <w:sz w:val="28"/>
          <w:szCs w:val="28"/>
        </w:rPr>
        <w:t xml:space="preserve">5.1  Per-Component Inference Latency Budget</w:t>
      </w:r>
    </w:p>
    <w:p>
      <w:pPr>
        <w:spacing w:after="140" w:line="280"/>
      </w:pPr>
      <w:r>
        <w:rPr>
          <w:rFonts w:ascii="Arial" w:cs="Arial" w:eastAsia="Arial" w:hAnsi="Arial"/>
          <w:color w:val="1E293B"/>
          <w:sz w:val="22"/>
          <w:szCs w:val="22"/>
        </w:rPr>
        <w:t xml:space="preserve">The full oracle pipeline must complete within the inter-frame budget of 33ms (30fps) to avoid stalling the VLM inference loop. Analysis below assumes TensorRT-compiled models where applicable, FP16 precision, and ROI-cropped inputs (640×480 full → ~300×300 contact zone 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Latency (ms)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VRAM (GB)</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MediaPipe Hand Landmark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0.4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19"/>
                <w:szCs w:val="19"/>
              </w:rPr>
              <w:t xml:space="preserve">✔ Fully viable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Depth Estimation (DA-V2 Small)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0.8 GB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Viable with ROI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ST-GNN-VAE Encoder (T=16)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0.6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19"/>
                <w:szCs w:val="19"/>
              </w:rPr>
              <w:t xml:space="preserve">✔ Fully viable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PatchCore Nearest Neighbor Search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 GB (memory bank)</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Viable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CFA Anomaly Scoring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0.5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19"/>
                <w:szCs w:val="19"/>
              </w:rPr>
              <w:t xml:space="preserve">✔ Viable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RD++ Student Forward Pass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0.4 GB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Viable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Geometric Descriptor CNN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0.1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19"/>
                <w:szCs w:val="19"/>
              </w:rPr>
              <w:t xml:space="preserve">✔ Fully viable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Oracle Verbalization (CPU)</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~0.2ms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 GB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Negligible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ORACLE PIPELINE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~41ms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 Exceeds 33ms target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TOTAL w/ async parallelization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~18ms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~4.0 GB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Viable (parallel)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VLM Inference (Qwen2.5-VL-7B, FP4)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~150-400ms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~8-10 GB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 Rate-limited to 3-5fps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TOTAL SYSTEM (oracle+VLM)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~200-450ms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~12-14 GB</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47857"/>
                <w:sz w:val="19"/>
                <w:szCs w:val="19"/>
              </w:rPr>
              <w:t xml:space="preserve">✔ Within 16GB VRAM</w:t>
            </w:r>
          </w:p>
        </w:tc>
      </w:tr>
    </w:tbl>
    <w:p>
      <w:pPr>
        <w:spacing w:after="120"/>
      </w:pPr>
    </w:p>
    <w:p>
      <w:pPr>
        <w:spacing w:after="140" w:line="280"/>
      </w:pPr>
      <w:r>
        <w:rPr>
          <w:rFonts w:ascii="Arial" w:cs="Arial" w:eastAsia="Arial" w:hAnsi="Arial"/>
          <w:color w:val="1E293B"/>
          <w:sz w:val="22"/>
          <w:szCs w:val="22"/>
        </w:rPr>
        <w:t xml:space="preserve">The oracle pipeline components are highly parallelizable. MediaPipe, depth estimation, and the visual anomaly detectors can all run concurrently on separate CUDA streams with torch.cuda.Stream, reducing total oracle latency from 41ms sequential to ~18ms parallel. This comfortably fits within the 33ms frame budget.</w:t>
      </w:r>
    </w:p>
    <w:p>
      <w:pPr>
        <w:pStyle w:val="Heading2"/>
        <w:spacing w:before="360" w:after="160"/>
      </w:pPr>
      <w:r>
        <w:rPr>
          <w:rFonts w:ascii="Arial" w:cs="Arial" w:eastAsia="Arial" w:hAnsi="Arial"/>
          <w:b/>
          <w:bCs/>
          <w:color w:val="1A56DB"/>
          <w:sz w:val="28"/>
          <w:szCs w:val="28"/>
        </w:rPr>
        <w:t xml:space="preserve">5.2  Memory Allocation Strategy</w:t>
      </w:r>
    </w:p>
    <w:p>
      <w:pPr>
        <w:spacing w:after="140" w:line="280"/>
      </w:pPr>
      <w:r>
        <w:rPr>
          <w:rFonts w:ascii="Arial" w:cs="Arial" w:eastAsia="Arial" w:hAnsi="Arial"/>
          <w:color w:val="1E293B"/>
          <w:sz w:val="22"/>
          <w:szCs w:val="22"/>
        </w:rPr>
        <w:t xml:space="preserve">The RTX 4060 Ti's 16GB VRAM is the binding constraint. The following allocation is recommended to avoid OOM errors during concurrent pipeline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VRAM Allocation</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VLM Backbone (Qwen2.5-VL-7B)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8.5 GB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INT4/FP4 via bitsandbytes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VLM Vision Encoder (ViT-L)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0.8 GB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FP16</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ST-GNN-VAE Model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0.6 GB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FP16</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PatchCore Memory Bank</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1.2 GB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FP32</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CFA + RD++ Models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0.9 GB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FP16</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Depth + Geometric CNN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0.9 GB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FP16</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CUDA Activation Buffers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1.5 GB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Mixed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56DB"/>
                <w:sz w:val="19"/>
                <w:szCs w:val="19"/>
              </w:rPr>
              <w:t xml:space="preserve">TOTAL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56DB"/>
                <w:sz w:val="19"/>
                <w:szCs w:val="19"/>
              </w:rPr>
              <w:t xml:space="preserve">14.4 GB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56DB"/>
                <w:sz w:val="19"/>
                <w:szCs w:val="19"/>
              </w:rPr>
              <w:t xml:space="preserve">Leaves 1.6 GB headroom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20"/>
              <w:left w:type="dxa" w:w="200"/>
              <w:bottom w:type="dxa" w:w="120"/>
              <w:right w:type="dxa" w:w="200"/>
            </w:tcMar>
          </w:tcPr>
          <w:p>
            <w:pPr>
              <w:spacing w:after="60"/>
            </w:pPr>
            <w:r>
              <w:rPr>
                <w:rFonts w:ascii="Arial" w:cs="Arial" w:eastAsia="Arial" w:hAnsi="Arial"/>
                <w:b/>
                <w:bCs/>
                <w:color w:val="B45309"/>
                <w:sz w:val="18"/>
                <w:szCs w:val="18"/>
              </w:rPr>
              <w:t xml:space="preserve">⚠ IMPLEMENTATION WARNING</w:t>
            </w:r>
          </w:p>
          <w:p>
            <w:pPr>
              <w:spacing w:after="0"/>
            </w:pPr>
            <w:r>
              <w:rPr>
                <w:rFonts w:ascii="Arial" w:cs="Arial" w:eastAsia="Arial" w:hAnsi="Arial"/>
                <w:color w:val="1E293B"/>
                <w:sz w:val="20"/>
                <w:szCs w:val="20"/>
              </w:rPr>
              <w:t xml:space="preserve">Quantization Decision: The VLM must be quantized to INT4/FP4 (via bitsandbytes or AutoGPTQ) to fit within 16GB alongside the oracle pipeline. Qwen2.5-VL-7B at INT4 reduces from ~14GB to ~8.5GB with &lt;3% accuracy degradation on visual reasoning benchmarks. This is the critical enabler for the full system on a single RTX 4060 Ti.</w:t>
            </w:r>
          </w:p>
        </w:tc>
      </w:tr>
    </w:tbl>
    <w:p>
      <w:pPr>
        <w:pStyle w:val="Heading2"/>
        <w:spacing w:before="360" w:after="160"/>
      </w:pPr>
      <w:r>
        <w:rPr>
          <w:rFonts w:ascii="Arial" w:cs="Arial" w:eastAsia="Arial" w:hAnsi="Arial"/>
          <w:b/>
          <w:bCs/>
          <w:color w:val="1A56DB"/>
          <w:sz w:val="28"/>
          <w:szCs w:val="28"/>
        </w:rPr>
        <w:t xml:space="preserve">5.3  48-Hour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0-6h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Environment Setup</w:t>
            </w:r>
          </w:p>
        </w:tc>
        <w:tc>
          <w:tcPr>
            <w:tcW w:type="dxa" w:w="5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Docker + CUDA environment, Anomalib install, torch_geometric, VLM quantized weights loaded, MediaPipe verified</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6-14h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GNN-VAE Implementation</w:t>
            </w:r>
          </w:p>
        </w:tc>
        <w:tc>
          <w:tcPr>
            <w:tcW w:type="dxa" w:w="5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Graph construction pipeline from MediaPipe landmarks, ST-GNN-VAE architecture in PyTorch Geometric, ELBO training loop, anomaly scorer</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14-22h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Anomaly Detectors</w:t>
            </w:r>
          </w:p>
        </w:tc>
        <w:tc>
          <w:tcPr>
            <w:tcW w:type="dxa" w:w="5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PatchCore + CFA pipeline from Anomalib, adapt to ROI-cropped handoff frames, calibration MLP, RD++ temporal wrapper</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22-28h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Geometric Oracle</w:t>
            </w:r>
          </w:p>
        </w:tc>
        <w:tc>
          <w:tcPr>
            <w:tcW w:type="dxa" w:w="5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Depth Anything V2 integration, offline 3DGS distillation label generation, geometric descriptor CNN training (~2h on RTX 4060 Ti)</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28-34h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Oracle Integration</w:t>
            </w:r>
          </w:p>
        </w:tc>
        <w:tc>
          <w:tcPr>
            <w:tcW w:type="dxa" w:w="5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Verbalization templates, async CUDA stream orchestration, VLM prompt pipeline, end-to-end latency profiling</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34-42h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4-Agent Ensemble</w:t>
            </w:r>
          </w:p>
        </w:tc>
        <w:tc>
          <w:tcPr>
            <w:tcW w:type="dxa" w:w="5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Adversarial agent differentiation, epistemic disagreement scoring, Safe Release Window prediction logic, ensemble aggregation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42-48h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Demo &amp; Polish</w:t>
            </w:r>
          </w:p>
        </w:tc>
        <w:tc>
          <w:tcPr>
            <w:tcW w:type="dxa" w:w="5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Isaac Sim or recorded video demo, benchmark results, latency measurements, submission packaging</w:t>
            </w:r>
          </w:p>
        </w:tc>
      </w:tr>
    </w:tbl>
    <w:p>
      <w:pPr>
        <w:spacing w:after="120"/>
      </w:pPr>
    </w:p>
    <w:p>
      <w:r>
        <w:br w:type="page"/>
      </w:r>
    </w:p>
    <w:p>
      <w:pPr>
        <w:pStyle w:val="Heading1"/>
        <w:pBdr>
          <w:bottom w:val="single" w:color="1A56DB" w:sz="8" w:space="6"/>
        </w:pBdr>
        <w:spacing w:before="480" w:after="200"/>
      </w:pPr>
      <w:r>
        <w:rPr>
          <w:rFonts w:ascii="Arial" w:cs="Arial" w:eastAsia="Arial" w:hAnsi="Arial"/>
          <w:b/>
          <w:bCs/>
          <w:color w:val="1E293B"/>
          <w:sz w:val="36"/>
          <w:szCs w:val="36"/>
        </w:rPr>
        <w:t xml:space="preserve">Part VI — Full System Architecture &amp; Design Synthesis</w:t>
      </w:r>
    </w:p>
    <w:p>
      <w:pPr>
        <w:pStyle w:val="Heading2"/>
        <w:spacing w:before="360" w:after="160"/>
      </w:pPr>
      <w:r>
        <w:rPr>
          <w:rFonts w:ascii="Arial" w:cs="Arial" w:eastAsia="Arial" w:hAnsi="Arial"/>
          <w:b/>
          <w:bCs/>
          <w:color w:val="1A56DB"/>
          <w:sz w:val="28"/>
          <w:szCs w:val="28"/>
        </w:rPr>
        <w:t xml:space="preserve">6.1  Complete Pipeline Dataflow</w:t>
      </w:r>
    </w:p>
    <w:p>
      <w:pPr>
        <w:spacing w:after="140" w:line="280"/>
      </w:pPr>
      <w:r>
        <w:rPr>
          <w:rFonts w:ascii="Arial" w:cs="Arial" w:eastAsia="Arial" w:hAnsi="Arial"/>
          <w:color w:val="1E293B"/>
          <w:sz w:val="22"/>
          <w:szCs w:val="22"/>
        </w:rPr>
        <w:t xml:space="preserve">The following describes the complete inference dataflow for a single frame, showing how oracle signals propagate through the 4-agent ensemble to produce the Safe Release Window prediction.</w:t>
      </w:r>
    </w:p>
    <w:p>
      <w:pPr>
        <w:shd w:fill="1E293B" w:val="clear"/>
        <w:spacing w:before="80" w:after="80"/>
        <w:ind w:left="360" w:right="360"/>
      </w:pPr>
      <w:r>
        <w:rPr>
          <w:rFonts w:ascii="Courier New" w:cs="Courier New" w:eastAsia="Courier New" w:hAnsi="Courier New"/>
          <w:color w:val="E2E8F0"/>
          <w:sz w:val="18"/>
          <w:szCs w:val="18"/>
        </w:rPr>
        <w:t xml:space="preserve">INPUT: RGB frame I_t (+ stereo depth D_t if available)</w:t>
      </w:r>
    </w:p>
    <w:p>
      <w:pPr>
        <w:shd w:fill="1E293B" w:val="clear"/>
        <w:spacing w:before="80" w:after="80"/>
        <w:ind w:left="360" w:right="360"/>
      </w:pPr>
      <w:r>
        <w:rPr>
          <w:rFonts w:ascii="Courier New" w:cs="Courier New" w:eastAsia="Courier New" w:hAnsi="Courier New"/>
          <w:color w:val="E2E8F0"/>
          <w:sz w:val="18"/>
          <w:szCs w:val="18"/>
        </w:rPr>
        <w:t xml:space="preserve"/>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ORACLE EXTRACTION LAYER                   │</w:t>
      </w:r>
    </w:p>
    <w:p>
      <w:pPr>
        <w:shd w:fill="1E293B" w:val="clear"/>
        <w:spacing w:before="80" w:after="80"/>
        <w:ind w:left="360" w:right="360"/>
      </w:pPr>
      <w:r>
        <w:rPr>
          <w:rFonts w:ascii="Courier New" w:cs="Courier New" w:eastAsia="Courier New" w:hAnsi="Courier New"/>
          <w:color w:val="E2E8F0"/>
          <w:sz w:val="18"/>
          <w:szCs w:val="18"/>
        </w:rPr>
        <w:t xml:space="preserve">│  [CUDA Stream 1]          [CUDA Stream 2]                   │</w:t>
      </w:r>
    </w:p>
    <w:p>
      <w:pPr>
        <w:shd w:fill="1E293B" w:val="clear"/>
        <w:spacing w:before="80" w:after="80"/>
        <w:ind w:left="360" w:right="360"/>
      </w:pPr>
      <w:r>
        <w:rPr>
          <w:rFonts w:ascii="Courier New" w:cs="Courier New" w:eastAsia="Courier New" w:hAnsi="Courier New"/>
          <w:color w:val="E2E8F0"/>
          <w:sz w:val="18"/>
          <w:szCs w:val="18"/>
        </w:rPr>
        <w:t xml:space="preserve">│  MediaPipe → Graph G_t    Depth DA-V2 → PointCloud P_t      │</w:t>
      </w:r>
    </w:p>
    <w:p>
      <w:pPr>
        <w:shd w:fill="1E293B" w:val="clear"/>
        <w:spacing w:before="80" w:after="80"/>
        <w:ind w:left="360" w:right="360"/>
      </w:pPr>
      <w:r>
        <w:rPr>
          <w:rFonts w:ascii="Courier New" w:cs="Courier New" w:eastAsia="Courier New" w:hAnsi="Courier New"/>
          <w:color w:val="E2E8F0"/>
          <w:sz w:val="18"/>
          <w:szCs w:val="18"/>
        </w:rPr>
        <w:t xml:space="preserve">│  ST-GNN-VAE → z_t         GeoDesc-CNN → φ_geo_t            │</w:t>
      </w:r>
    </w:p>
    <w:p>
      <w:pPr>
        <w:shd w:fill="1E293B" w:val="clear"/>
        <w:spacing w:before="80" w:after="80"/>
        <w:ind w:left="360" w:right="360"/>
      </w:pPr>
      <w:r>
        <w:rPr>
          <w:rFonts w:ascii="Courier New" w:cs="Courier New" w:eastAsia="Courier New" w:hAnsi="Courier New"/>
          <w:color w:val="E2E8F0"/>
          <w:sz w:val="18"/>
          <w:szCs w:val="18"/>
        </w:rPr>
        <w:t xml:space="preserve">│  Anomaly_Score S_instability  PatchCore/CFA/RD++ → S_visual │</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 ~18ms</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ORACLE VERBALIZATION MODULE                     │</w:t>
      </w:r>
    </w:p>
    <w:p>
      <w:pPr>
        <w:shd w:fill="1E293B" w:val="clear"/>
        <w:spacing w:before="80" w:after="80"/>
        <w:ind w:left="360" w:right="360"/>
      </w:pPr>
      <w:r>
        <w:rPr>
          <w:rFonts w:ascii="Courier New" w:cs="Courier New" w:eastAsia="Courier New" w:hAnsi="Courier New"/>
          <w:color w:val="E2E8F0"/>
          <w:sz w:val="18"/>
          <w:szCs w:val="18"/>
        </w:rPr>
        <w:t xml:space="preserve">│  Serializes scores + geo descriptors → structured text blob │</w:t>
      </w:r>
    </w:p>
    <w:p>
      <w:pPr>
        <w:shd w:fill="1E293B" w:val="clear"/>
        <w:spacing w:before="80" w:after="80"/>
        <w:ind w:left="360" w:right="360"/>
      </w:pPr>
      <w:r>
        <w:rPr>
          <w:rFonts w:ascii="Courier New" w:cs="Courier New" w:eastAsia="Courier New" w:hAnsi="Courier New"/>
          <w:color w:val="E2E8F0"/>
          <w:sz w:val="18"/>
          <w:szCs w:val="18"/>
        </w:rPr>
        <w:t xml:space="preserve">│  ~80 tokens, prepended to VLM prompt                        │</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4-AGENT VLM ENSEMBLE (Qwen2.5-VL-7B INT4)        │</w:t>
      </w:r>
    </w:p>
    <w:p>
      <w:pPr>
        <w:shd w:fill="1E293B" w:val="clear"/>
        <w:spacing w:before="80" w:after="80"/>
        <w:ind w:left="360" w:right="360"/>
      </w:pPr>
      <w:r>
        <w:rPr>
          <w:rFonts w:ascii="Courier New" w:cs="Courier New" w:eastAsia="Courier New" w:hAnsi="Courier New"/>
          <w:color w:val="E2E8F0"/>
          <w:sz w:val="18"/>
          <w:szCs w:val="18"/>
        </w:rPr>
        <w:t xml:space="preserve">│  Agent-1 (Conservative): High safety threshold              │</w:t>
      </w:r>
    </w:p>
    <w:p>
      <w:pPr>
        <w:shd w:fill="1E293B" w:val="clear"/>
        <w:spacing w:before="80" w:after="80"/>
        <w:ind w:left="360" w:right="360"/>
      </w:pPr>
      <w:r>
        <w:rPr>
          <w:rFonts w:ascii="Courier New" w:cs="Courier New" w:eastAsia="Courier New" w:hAnsi="Courier New"/>
          <w:color w:val="E2E8F0"/>
          <w:sz w:val="18"/>
          <w:szCs w:val="18"/>
        </w:rPr>
        <w:t xml:space="preserve">│  Agent-2 (Aggressive):   Low safety threshold (adversary)   │</w:t>
      </w:r>
    </w:p>
    <w:p>
      <w:pPr>
        <w:shd w:fill="1E293B" w:val="clear"/>
        <w:spacing w:before="80" w:after="80"/>
        <w:ind w:left="360" w:right="360"/>
      </w:pPr>
      <w:r>
        <w:rPr>
          <w:rFonts w:ascii="Courier New" w:cs="Courier New" w:eastAsia="Courier New" w:hAnsi="Courier New"/>
          <w:color w:val="E2E8F0"/>
          <w:sz w:val="18"/>
          <w:szCs w:val="18"/>
        </w:rPr>
        <w:t xml:space="preserve">│  Agent-3 (Epistemic):    Uncertainty-aware, calibrated      │</w:t>
      </w:r>
    </w:p>
    <w:p>
      <w:pPr>
        <w:shd w:fill="1E293B" w:val="clear"/>
        <w:spacing w:before="80" w:after="80"/>
        <w:ind w:left="360" w:right="360"/>
      </w:pPr>
      <w:r>
        <w:rPr>
          <w:rFonts w:ascii="Courier New" w:cs="Courier New" w:eastAsia="Courier New" w:hAnsi="Courier New"/>
          <w:color w:val="E2E8F0"/>
          <w:sz w:val="18"/>
          <w:szCs w:val="18"/>
        </w:rPr>
        <w:t xml:space="preserve">│  Agent-4 (Physical):     Physics-constraint enforcer        │</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 Ensemble aggregation: Dempster-Shafer</w:t>
      </w:r>
    </w:p>
    <w:p>
      <w:pPr>
        <w:shd w:fill="1E293B" w:val="clear"/>
        <w:spacing w:before="80" w:after="80"/>
        <w:ind w:left="360" w:right="360"/>
      </w:pPr>
      <w:r>
        <w:rPr>
          <w:rFonts w:ascii="Courier New" w:cs="Courier New" w:eastAsia="Courier New" w:hAnsi="Courier New"/>
          <w:color w:val="E2E8F0"/>
          <w:sz w:val="18"/>
          <w:szCs w:val="18"/>
        </w:rPr>
        <w:t xml:space="preserve">┌─────────────────────▼───────────────────────────────────────┐</w:t>
      </w:r>
    </w:p>
    <w:p>
      <w:pPr>
        <w:shd w:fill="1E293B" w:val="clear"/>
        <w:spacing w:before="80" w:after="80"/>
        <w:ind w:left="360" w:right="360"/>
      </w:pPr>
      <w:r>
        <w:rPr>
          <w:rFonts w:ascii="Courier New" w:cs="Courier New" w:eastAsia="Courier New" w:hAnsi="Courier New"/>
          <w:color w:val="E2E8F0"/>
          <w:sz w:val="18"/>
          <w:szCs w:val="18"/>
        </w:rPr>
        <w:t xml:space="preserve">│         SAFE RELEASE WINDOW PREDICTION OUTPUT               │</w:t>
      </w:r>
    </w:p>
    <w:p>
      <w:pPr>
        <w:shd w:fill="1E293B" w:val="clear"/>
        <w:spacing w:before="80" w:after="80"/>
        <w:ind w:left="360" w:right="360"/>
      </w:pPr>
      <w:r>
        <w:rPr>
          <w:rFonts w:ascii="Courier New" w:cs="Courier New" w:eastAsia="Courier New" w:hAnsi="Courier New"/>
          <w:color w:val="E2E8F0"/>
          <w:sz w:val="18"/>
          <w:szCs w:val="18"/>
        </w:rPr>
        <w:t xml:space="preserve">│  P(safe_release | t) ∈ [0,1] + confidence_interval         │</w:t>
      </w:r>
    </w:p>
    <w:p>
      <w:pPr>
        <w:shd w:fill="1E293B" w:val="clear"/>
        <w:spacing w:before="80" w:after="80"/>
        <w:ind w:left="360" w:right="360"/>
      </w:pPr>
      <w:r>
        <w:rPr>
          <w:rFonts w:ascii="Courier New" w:cs="Courier New" w:eastAsia="Courier New" w:hAnsi="Courier New"/>
          <w:color w:val="E2E8F0"/>
          <w:sz w:val="18"/>
          <w:szCs w:val="18"/>
        </w:rPr>
        <w:t xml:space="preserve">└─────────────────────────────────────────────────────────────┘</w:t>
      </w:r>
    </w:p>
    <w:p>
      <w:pPr>
        <w:spacing w:after="120"/>
      </w:pPr>
    </w:p>
    <w:p>
      <w:pPr>
        <w:pStyle w:val="Heading2"/>
        <w:spacing w:before="360" w:after="160"/>
      </w:pPr>
      <w:r>
        <w:rPr>
          <w:rFonts w:ascii="Arial" w:cs="Arial" w:eastAsia="Arial" w:hAnsi="Arial"/>
          <w:b/>
          <w:bCs/>
          <w:color w:val="1A56DB"/>
          <w:sz w:val="28"/>
          <w:szCs w:val="28"/>
        </w:rPr>
        <w:t xml:space="preserve">6.2  The Adversarial Epistemic Value of Oracle Grounding</w:t>
      </w:r>
    </w:p>
    <w:p>
      <w:pPr>
        <w:spacing w:after="140" w:line="280"/>
      </w:pPr>
      <w:r>
        <w:rPr>
          <w:rFonts w:ascii="Arial" w:cs="Arial" w:eastAsia="Arial" w:hAnsi="Arial"/>
          <w:color w:val="1E293B"/>
          <w:sz w:val="22"/>
          <w:szCs w:val="22"/>
        </w:rPr>
        <w:t xml:space="preserve">The oracle signals fundamentally change the nature of the ensemble's disagreement. Without physical oracles, the four agents disagree only on semantic/contextual grounds (visual appearance interpretation). With oracle injection, agents can disagree on physically-grounded grounds — Agent-1 might weight the kinematic instability score heavily, while Agent-2 ignores it and focuses on visual appearance.</w:t>
      </w:r>
    </w:p>
    <w:p>
      <w:pPr>
        <w:spacing w:after="140" w:line="280"/>
      </w:pPr>
      <w:r>
        <w:rPr>
          <w:rFonts w:ascii="Arial" w:cs="Arial" w:eastAsia="Arial" w:hAnsi="Arial"/>
          <w:color w:val="1E293B"/>
          <w:sz w:val="22"/>
          <w:szCs w:val="22"/>
        </w:rPr>
        <w:t xml:space="preserve">This creates meaningful epistemic diversity: the Dempster-Shafer combination of agent beliefs will exhibit higher uncertainty precisely when physical signals and visual signals disagree — the most dangerous regime where failure probability is highest but visual appearance may still look 'normal.' This is exactly the failure mode that kills naive VLM-only approaches.</w:t>
      </w:r>
    </w:p>
    <w:p>
      <w:pPr>
        <w:pStyle w:val="Heading2"/>
        <w:spacing w:before="360" w:after="160"/>
      </w:pPr>
      <w:r>
        <w:rPr>
          <w:rFonts w:ascii="Arial" w:cs="Arial" w:eastAsia="Arial" w:hAnsi="Arial"/>
          <w:b/>
          <w:bCs/>
          <w:color w:val="1A56DB"/>
          <w:sz w:val="28"/>
          <w:szCs w:val="28"/>
        </w:rPr>
        <w:t xml:space="preserve">6.3  Key Research References</w:t>
      </w:r>
    </w:p>
    <w:p>
      <w:pPr>
        <w:spacing w:after="140" w:line="280"/>
      </w:pPr>
      <w:r>
        <w:rPr>
          <w:rFonts w:ascii="Arial" w:cs="Arial" w:eastAsia="Arial" w:hAnsi="Arial"/>
          <w:color w:val="1E293B"/>
          <w:sz w:val="22"/>
          <w:szCs w:val="22"/>
        </w:rPr>
        <w:t xml:space="preserve">The following foundational papers are directly relevant to each component described in this report:</w:t>
      </w:r>
    </w:p>
    <w:p>
      <w:pPr>
        <w:pStyle w:val="ListParagraph"/>
        <w:numPr>
          <w:ilvl w:val="0"/>
          <w:numId w:val="2"/>
        </w:numPr>
        <w:spacing w:after="100"/>
      </w:pPr>
      <w:r>
        <w:rPr>
          <w:rFonts w:ascii="Arial" w:cs="Arial" w:eastAsia="Arial" w:hAnsi="Arial"/>
          <w:color w:val="1E293B"/>
          <w:sz w:val="22"/>
          <w:szCs w:val="22"/>
        </w:rPr>
        <w:t xml:space="preserve">GNN-VAE: Kipf &amp; Welling (2016) Variational Graph Auto-Encoders; Park et al. (2021) STGNN for Human Motion; Li et al. (2019) Spatio-Temporal Graph Convolutional Networks for Skeleton-Based Action Recognition</w:t>
      </w:r>
    </w:p>
    <w:p>
      <w:pPr>
        <w:pStyle w:val="ListParagraph"/>
        <w:numPr>
          <w:ilvl w:val="0"/>
          <w:numId w:val="2"/>
        </w:numPr>
        <w:spacing w:after="100"/>
      </w:pPr>
      <w:r>
        <w:rPr>
          <w:rFonts w:ascii="Arial" w:cs="Arial" w:eastAsia="Arial" w:hAnsi="Arial"/>
          <w:color w:val="1E293B"/>
          <w:sz w:val="22"/>
          <w:szCs w:val="22"/>
        </w:rPr>
        <w:t xml:space="preserve">Anomaly Detection: Roth et al. (2022) Towards Total Recall in Industrial Anomaly Detection (PatchCore); Lee et al. (2022) CFA; Deng &amp; Li (2022) Anomaly Detection via Reverse Distillation; Bergmann et al. (2019) MVTec AD</w:t>
      </w:r>
    </w:p>
    <w:p>
      <w:pPr>
        <w:pStyle w:val="ListParagraph"/>
        <w:numPr>
          <w:ilvl w:val="0"/>
          <w:numId w:val="2"/>
        </w:numPr>
        <w:spacing w:after="100"/>
      </w:pPr>
      <w:r>
        <w:rPr>
          <w:rFonts w:ascii="Arial" w:cs="Arial" w:eastAsia="Arial" w:hAnsi="Arial"/>
          <w:color w:val="1E293B"/>
          <w:sz w:val="22"/>
          <w:szCs w:val="22"/>
        </w:rPr>
        <w:t xml:space="preserve">3D Gaussian Splatting: Kerbl et al. (2023) 3D Gaussian Splatting for Real-Time Novel View Synthesis; Yang et al. (2023) Deformable 3D Gaussians; Wu et al. (2024) 4D Gaussian Splatting for Real-Time Dynamic Scene Rendering</w:t>
      </w:r>
    </w:p>
    <w:p>
      <w:pPr>
        <w:pStyle w:val="ListParagraph"/>
        <w:numPr>
          <w:ilvl w:val="0"/>
          <w:numId w:val="2"/>
        </w:numPr>
        <w:spacing w:after="100"/>
      </w:pPr>
      <w:r>
        <w:rPr>
          <w:rFonts w:ascii="Arial" w:cs="Arial" w:eastAsia="Arial" w:hAnsi="Arial"/>
          <w:color w:val="1E293B"/>
          <w:sz w:val="22"/>
          <w:szCs w:val="22"/>
        </w:rPr>
        <w:t xml:space="preserve">VLM Injection: Brown et al. (2020) GPT-3 (few-shot prompting); Li &amp; Liang (2021) Prefix-Tuning; Schick et al. (2023) Toolformer; Alayrac et al. (2022) Flamingo</w:t>
      </w:r>
    </w:p>
    <w:p>
      <w:pPr>
        <w:pStyle w:val="ListParagraph"/>
        <w:numPr>
          <w:ilvl w:val="0"/>
          <w:numId w:val="2"/>
        </w:numPr>
        <w:spacing w:after="100"/>
      </w:pPr>
      <w:r>
        <w:rPr>
          <w:rFonts w:ascii="Arial" w:cs="Arial" w:eastAsia="Arial" w:hAnsi="Arial"/>
          <w:color w:val="1E293B"/>
          <w:sz w:val="22"/>
          <w:szCs w:val="22"/>
        </w:rPr>
        <w:t xml:space="preserve">Depth Estimation: Depth Anything V2 (Yang et al., 2024); ZoeDepth (Bhat et al., 2023)</w:t>
      </w:r>
    </w:p>
    <w:p>
      <w:pPr>
        <w:pStyle w:val="ListParagraph"/>
        <w:numPr>
          <w:ilvl w:val="0"/>
          <w:numId w:val="2"/>
        </w:numPr>
        <w:spacing w:after="100"/>
      </w:pPr>
      <w:r>
        <w:rPr>
          <w:rFonts w:ascii="Arial" w:cs="Arial" w:eastAsia="Arial" w:hAnsi="Arial"/>
          <w:color w:val="1E293B"/>
          <w:sz w:val="22"/>
          <w:szCs w:val="22"/>
        </w:rPr>
        <w:t xml:space="preserve">Target VLM: Qwen2.5-VL (Bai et al., 2025) — state-of-the-art open VLM with strong spatial reasoning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20"/>
              <w:left w:type="dxa" w:w="200"/>
              <w:bottom w:type="dxa" w:w="120"/>
              <w:right w:type="dxa" w:w="200"/>
            </w:tcMar>
          </w:tcPr>
          <w:p>
            <w:pPr>
              <w:spacing w:after="60"/>
            </w:pPr>
            <w:r>
              <w:rPr>
                <w:rFonts w:ascii="Arial" w:cs="Arial" w:eastAsia="Arial" w:hAnsi="Arial"/>
                <w:b/>
                <w:bCs/>
                <w:color w:val="047857"/>
                <w:sz w:val="18"/>
                <w:szCs w:val="18"/>
              </w:rPr>
              <w:t xml:space="preserve">✔ RECOMMENDED APPROACH</w:t>
            </w:r>
          </w:p>
          <w:p>
            <w:pPr>
              <w:spacing w:after="0"/>
            </w:pPr>
            <w:r>
              <w:rPr>
                <w:rFonts w:ascii="Arial" w:cs="Arial" w:eastAsia="Arial" w:hAnsi="Arial"/>
                <w:color w:val="1E293B"/>
                <w:sz w:val="20"/>
                <w:szCs w:val="20"/>
              </w:rPr>
              <w:t xml:space="preserve">Final Recommendation for NVIDIA Cosmos Cookoff: Implement the full oracle pipeline using Strategy A verbalization (immediate, zero fine-tuning), with the ST-GNN-VAE and PatchCore as the primary oracle signals. These two components provide the highest signal-to-noise ratio for handoff failure prediction and can realistically be implemented and validated within the 48-hour constraint. The geometric descriptor CNN is a stretch goal for hours 22-28. Full dynamic 3DGS is explicitly deferred to post-competition.</w:t>
            </w:r>
          </w:p>
        </w:tc>
      </w:tr>
    </w:tbl>
    <w:p>
      <w:pPr>
        <w:spacing w:after="200"/>
      </w:pPr>
    </w:p>
    <w:p>
      <w:pPr>
        <w:spacing w:before="480"/>
        <w:jc w:val="center"/>
      </w:pPr>
      <w:r>
        <w:rPr>
          <w:rFonts w:ascii="Arial" w:cs="Arial" w:eastAsia="Arial" w:hAnsi="Arial"/>
          <w:b/>
          <w:bCs/>
          <w:color w:val="94A3B8"/>
          <w:sz w:val="18"/>
          <w:szCs w:val="18"/>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94A3B8"/>
        <w:sz w:val="17"/>
        <w:szCs w:val="17"/>
      </w:rPr>
      <w:t xml:space="preserve">NVIDIA Cosmos Cookoff — Confidential Technical Research  |  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pPr>
    <w:r>
      <w:rPr>
        <w:rFonts w:ascii="Arial" w:cs="Arial" w:eastAsia="Arial" w:hAnsi="Arial"/>
        <w:b/>
        <w:bCs/>
        <w:color w:val="1A56DB"/>
        <w:sz w:val="18"/>
        <w:szCs w:val="18"/>
      </w:rPr>
      <w:t xml:space="preserve">ADVERSARIAL BLIND EPISTEMIC ENSEMBLE</w:t>
    </w:r>
    <w:r>
      <w:rPr>
        <w:rFonts w:ascii="Arial" w:cs="Arial" w:eastAsia="Arial" w:hAnsi="Arial"/>
        <w:color w:val="94A3B8"/>
        <w:sz w:val="18"/>
        <w:szCs w:val="18"/>
      </w:rPr>
      <w:t xml:space="preserve">  |  Deep-Dive ML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56D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2026-03-04T12:34:30.065Z</dcterms:created>
  <dcterms:modified xsi:type="dcterms:W3CDTF">2026-03-04T12:34:30.066Z</dcterms:modified>
</cp:coreProperties>
</file>

<file path=docProps/custom.xml><?xml version="1.0" encoding="utf-8"?>
<Properties xmlns="http://schemas.openxmlformats.org/officeDocument/2006/custom-properties" xmlns:vt="http://schemas.openxmlformats.org/officeDocument/2006/docPropsVTypes"/>
</file>